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0D6F0C" w14:textId="77777777" w:rsidR="00E200CF" w:rsidRDefault="00AA7EAD" w:rsidP="00E200CF">
      <w:pPr>
        <w:pStyle w:val="TitlePage1"/>
      </w:pPr>
      <w:r>
        <w:rPr>
          <w:noProof/>
        </w:rPr>
        <w:drawing>
          <wp:anchor distT="0" distB="0" distL="114300" distR="114300" simplePos="0" relativeHeight="251658240" behindDoc="1" locked="0" layoutInCell="1" allowOverlap="1" wp14:anchorId="124FB078" wp14:editId="1631ADC2">
            <wp:simplePos x="0" y="0"/>
            <wp:positionH relativeFrom="column">
              <wp:posOffset>5183505</wp:posOffset>
            </wp:positionH>
            <wp:positionV relativeFrom="paragraph">
              <wp:posOffset>8459470</wp:posOffset>
            </wp:positionV>
            <wp:extent cx="1080000" cy="1080000"/>
            <wp:effectExtent l="0" t="0" r="6350" b="6350"/>
            <wp:wrapNone/>
            <wp:docPr id="1" name="VCAT Seal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00E200CF">
        <w:t>VICTORIAN CIVIL AND ADMINISTRATIVE TRIBUNAL</w:t>
      </w:r>
    </w:p>
    <w:p w14:paraId="4069CA38" w14:textId="77777777" w:rsidR="00E200CF" w:rsidRDefault="003E5FC0" w:rsidP="004A201D">
      <w:pPr>
        <w:pStyle w:val="TitlePage1"/>
        <w:spacing w:after="120"/>
      </w:pPr>
      <w:bookmarkStart w:id="0" w:name="Division"/>
      <w:bookmarkEnd w:id="0"/>
      <w:r>
        <w:t xml:space="preserve">planning and environment </w:t>
      </w:r>
      <w:r w:rsidR="00E200CF">
        <w:t>DIVISION</w:t>
      </w:r>
    </w:p>
    <w:tbl>
      <w:tblPr>
        <w:tblW w:w="5000" w:type="pct"/>
        <w:tblLook w:val="0000" w:firstRow="0" w:lastRow="0" w:firstColumn="0" w:lastColumn="0" w:noHBand="0" w:noVBand="0"/>
      </w:tblPr>
      <w:tblGrid>
        <w:gridCol w:w="4494"/>
        <w:gridCol w:w="4011"/>
      </w:tblGrid>
      <w:tr w:rsidR="00E200CF" w:rsidRPr="009F658E" w14:paraId="260CCA0D" w14:textId="77777777" w:rsidTr="00C963CC">
        <w:trPr>
          <w:cantSplit/>
        </w:trPr>
        <w:tc>
          <w:tcPr>
            <w:tcW w:w="2642" w:type="pct"/>
          </w:tcPr>
          <w:p w14:paraId="357F9C4A" w14:textId="77777777" w:rsidR="00E200CF" w:rsidRDefault="00E200CF" w:rsidP="00C963CC">
            <w:pPr>
              <w:pStyle w:val="TitlePage2"/>
            </w:pPr>
            <w:bookmarkStart w:id="1" w:name="SubDivision"/>
            <w:bookmarkEnd w:id="1"/>
            <w:r>
              <w:t>planning and environment LIST</w:t>
            </w:r>
          </w:p>
        </w:tc>
        <w:tc>
          <w:tcPr>
            <w:tcW w:w="2358" w:type="pct"/>
          </w:tcPr>
          <w:p w14:paraId="7B9B8378" w14:textId="77777777" w:rsidR="00E200CF" w:rsidRPr="009F658E" w:rsidRDefault="00E200CF" w:rsidP="00C963CC">
            <w:pPr>
              <w:pStyle w:val="TitlePage3"/>
            </w:pPr>
            <w:bookmarkStart w:id="2" w:name="FileNo1"/>
            <w:bookmarkEnd w:id="2"/>
            <w:r w:rsidRPr="009F658E">
              <w:t xml:space="preserve">vcat reference No. </w:t>
            </w:r>
            <w:r w:rsidR="000D4E49">
              <w:t>P1192/2019</w:t>
            </w:r>
          </w:p>
          <w:p w14:paraId="180F8277" w14:textId="77777777" w:rsidR="00E200CF" w:rsidRPr="009F658E" w:rsidRDefault="00E200CF" w:rsidP="00C963CC">
            <w:pPr>
              <w:pStyle w:val="TitlePage3"/>
            </w:pPr>
            <w:r w:rsidRPr="009F658E">
              <w:t xml:space="preserve">Permit Application no. </w:t>
            </w:r>
            <w:r w:rsidR="000D4E49">
              <w:t>WH/2018/1171</w:t>
            </w:r>
          </w:p>
        </w:tc>
      </w:tr>
      <w:tr w:rsidR="00E200CF" w14:paraId="26989746" w14:textId="77777777" w:rsidTr="00C963CC">
        <w:tblPrEx>
          <w:jc w:val="center"/>
        </w:tblPrEx>
        <w:trPr>
          <w:cantSplit/>
          <w:jc w:val="center"/>
        </w:trPr>
        <w:tc>
          <w:tcPr>
            <w:tcW w:w="5000" w:type="pct"/>
            <w:gridSpan w:val="2"/>
          </w:tcPr>
          <w:p w14:paraId="53B01EC0" w14:textId="77777777" w:rsidR="00E200CF" w:rsidRDefault="00E200CF" w:rsidP="00C963CC">
            <w:pPr>
              <w:pStyle w:val="TitlePage2"/>
              <w:jc w:val="center"/>
            </w:pPr>
            <w:r>
              <w:t>CATCHWORDS</w:t>
            </w:r>
          </w:p>
        </w:tc>
      </w:tr>
      <w:tr w:rsidR="00E200CF" w14:paraId="05C889A2" w14:textId="77777777" w:rsidTr="00C963CC">
        <w:tblPrEx>
          <w:jc w:val="center"/>
        </w:tblPrEx>
        <w:trPr>
          <w:cantSplit/>
          <w:jc w:val="center"/>
        </w:trPr>
        <w:tc>
          <w:tcPr>
            <w:tcW w:w="5000" w:type="pct"/>
            <w:gridSpan w:val="2"/>
          </w:tcPr>
          <w:p w14:paraId="46F02502" w14:textId="77777777" w:rsidR="00E200CF" w:rsidRPr="000B65A8" w:rsidRDefault="000D4E49" w:rsidP="00C963CC">
            <w:pPr>
              <w:pStyle w:val="Catchwords"/>
            </w:pPr>
            <w:r w:rsidRPr="000B65A8">
              <w:t xml:space="preserve">Whitehorse Planning Scheme; </w:t>
            </w:r>
            <w:r w:rsidR="000B65A8" w:rsidRPr="000B65A8">
              <w:t>preferred neighbourhood character outcomes in a limited change area; Schedule 2 to the Significant Landscape Overlay; balance of built form and landscaping to a park interface.</w:t>
            </w:r>
          </w:p>
        </w:tc>
      </w:tr>
    </w:tbl>
    <w:p w14:paraId="7954BF66" w14:textId="77777777" w:rsidR="00E200CF" w:rsidRDefault="00E200CF" w:rsidP="00E200CF">
      <w:bookmarkStart w:id="3" w:name="Catchwords"/>
      <w:bookmarkEnd w:id="3"/>
    </w:p>
    <w:tbl>
      <w:tblPr>
        <w:tblW w:w="5000" w:type="pct"/>
        <w:tblLook w:val="0000" w:firstRow="0" w:lastRow="0" w:firstColumn="0" w:lastColumn="0" w:noHBand="0" w:noVBand="0"/>
      </w:tblPr>
      <w:tblGrid>
        <w:gridCol w:w="3545"/>
        <w:gridCol w:w="4960"/>
      </w:tblGrid>
      <w:tr w:rsidR="00E200CF" w14:paraId="0FD9C851" w14:textId="77777777" w:rsidTr="00C963CC">
        <w:tc>
          <w:tcPr>
            <w:tcW w:w="2084" w:type="pct"/>
          </w:tcPr>
          <w:p w14:paraId="433FAB0F" w14:textId="77777777" w:rsidR="00E200CF" w:rsidRDefault="00E200CF" w:rsidP="00C963CC">
            <w:pPr>
              <w:pStyle w:val="TitlePage2"/>
            </w:pPr>
            <w:bookmarkStart w:id="4" w:name="DELcomplainants2"/>
            <w:bookmarkStart w:id="5" w:name="DELapp"/>
            <w:bookmarkStart w:id="6" w:name="DELitmo"/>
            <w:bookmarkStart w:id="7" w:name="DELcar"/>
            <w:r>
              <w:t>APPLICANT</w:t>
            </w:r>
          </w:p>
        </w:tc>
        <w:tc>
          <w:tcPr>
            <w:tcW w:w="2916" w:type="pct"/>
          </w:tcPr>
          <w:p w14:paraId="7C9233CA" w14:textId="77777777" w:rsidR="00E200CF" w:rsidRDefault="000D4E49" w:rsidP="00C963CC">
            <w:pPr>
              <w:pStyle w:val="TitlePagetext"/>
            </w:pPr>
            <w:bookmarkStart w:id="8" w:name="Applicant"/>
            <w:bookmarkEnd w:id="8"/>
            <w:r>
              <w:t>Vivienne &amp; Giorgio Stefanutti</w:t>
            </w:r>
          </w:p>
        </w:tc>
      </w:tr>
      <w:tr w:rsidR="00E200CF" w14:paraId="157462C2" w14:textId="77777777" w:rsidTr="00C963CC">
        <w:tc>
          <w:tcPr>
            <w:tcW w:w="2084" w:type="pct"/>
          </w:tcPr>
          <w:p w14:paraId="30E68FB0" w14:textId="77777777" w:rsidR="00E200CF" w:rsidRDefault="00E200CF" w:rsidP="00C963CC">
            <w:pPr>
              <w:pStyle w:val="TitlePage2"/>
            </w:pPr>
            <w:r>
              <w:t>responsible authority</w:t>
            </w:r>
          </w:p>
        </w:tc>
        <w:tc>
          <w:tcPr>
            <w:tcW w:w="2916" w:type="pct"/>
          </w:tcPr>
          <w:p w14:paraId="182318A0" w14:textId="77777777" w:rsidR="00E200CF" w:rsidRDefault="000D4E49" w:rsidP="00C963CC">
            <w:pPr>
              <w:pStyle w:val="TitlePagetext"/>
            </w:pPr>
            <w:r>
              <w:t>Whitehorse City Council</w:t>
            </w:r>
          </w:p>
        </w:tc>
      </w:tr>
      <w:tr w:rsidR="000003F2" w14:paraId="296D9FE8" w14:textId="77777777" w:rsidTr="00C963CC">
        <w:tc>
          <w:tcPr>
            <w:tcW w:w="2084" w:type="pct"/>
          </w:tcPr>
          <w:p w14:paraId="2CFD5B88" w14:textId="77777777" w:rsidR="000003F2" w:rsidRDefault="000003F2" w:rsidP="00C963CC">
            <w:pPr>
              <w:pStyle w:val="TitlePage2"/>
            </w:pPr>
            <w:r>
              <w:t>Referral Authority</w:t>
            </w:r>
          </w:p>
        </w:tc>
        <w:tc>
          <w:tcPr>
            <w:tcW w:w="2916" w:type="pct"/>
          </w:tcPr>
          <w:p w14:paraId="0EAD4CF2" w14:textId="77777777" w:rsidR="000003F2" w:rsidRDefault="000D4E49" w:rsidP="00C963CC">
            <w:pPr>
              <w:pStyle w:val="TitlePagetext"/>
            </w:pPr>
            <w:r>
              <w:t>Melbourne Water</w:t>
            </w:r>
          </w:p>
        </w:tc>
      </w:tr>
      <w:tr w:rsidR="00E200CF" w14:paraId="12AB8E6B" w14:textId="77777777" w:rsidTr="00C963CC">
        <w:tc>
          <w:tcPr>
            <w:tcW w:w="2084" w:type="pct"/>
          </w:tcPr>
          <w:p w14:paraId="6D9C3F66" w14:textId="77777777" w:rsidR="00E200CF" w:rsidRDefault="00E200CF" w:rsidP="00C963CC">
            <w:pPr>
              <w:pStyle w:val="TitlePage2"/>
            </w:pPr>
            <w:bookmarkStart w:id="9" w:name="DELrespondents2"/>
            <w:bookmarkEnd w:id="4"/>
            <w:bookmarkEnd w:id="5"/>
            <w:r>
              <w:t>RESPONDENT</w:t>
            </w:r>
            <w:r w:rsidR="000D4E49">
              <w:t>s</w:t>
            </w:r>
          </w:p>
        </w:tc>
        <w:tc>
          <w:tcPr>
            <w:tcW w:w="2916" w:type="pct"/>
          </w:tcPr>
          <w:p w14:paraId="1E392E22" w14:textId="77777777" w:rsidR="00E200CF" w:rsidRDefault="000D4E49" w:rsidP="00C963CC">
            <w:pPr>
              <w:pStyle w:val="TitlePagetext"/>
            </w:pPr>
            <w:bookmarkStart w:id="10" w:name="Respondent"/>
            <w:bookmarkEnd w:id="10"/>
            <w:r>
              <w:t>Blackburn Village Residents Group Inc., Blackburn &amp; District Tree Preservation Society Inc., D Tribe</w:t>
            </w:r>
          </w:p>
        </w:tc>
      </w:tr>
      <w:tr w:rsidR="00E200CF" w14:paraId="4CC506CE" w14:textId="77777777" w:rsidTr="00C963CC">
        <w:tc>
          <w:tcPr>
            <w:tcW w:w="2084" w:type="pct"/>
          </w:tcPr>
          <w:p w14:paraId="5A835DF6" w14:textId="77777777" w:rsidR="00E200CF" w:rsidRDefault="00E200CF" w:rsidP="00C963CC">
            <w:pPr>
              <w:pStyle w:val="TitlePage2"/>
            </w:pPr>
            <w:bookmarkStart w:id="11" w:name="DELsubjectland"/>
            <w:r>
              <w:t>SUBJECT LAND</w:t>
            </w:r>
          </w:p>
        </w:tc>
        <w:tc>
          <w:tcPr>
            <w:tcW w:w="2916" w:type="pct"/>
          </w:tcPr>
          <w:p w14:paraId="7CB87DF4" w14:textId="77777777" w:rsidR="00E200CF" w:rsidRDefault="000D4E49" w:rsidP="00C963CC">
            <w:pPr>
              <w:pStyle w:val="TitlePagetext"/>
            </w:pPr>
            <w:bookmarkStart w:id="12" w:name="subjectland"/>
            <w:bookmarkEnd w:id="12"/>
            <w:r>
              <w:t>1-3 Naughton Grove, Blackburn</w:t>
            </w:r>
          </w:p>
        </w:tc>
      </w:tr>
      <w:tr w:rsidR="00E200CF" w14:paraId="00D10FE7" w14:textId="77777777" w:rsidTr="00C963CC">
        <w:tc>
          <w:tcPr>
            <w:tcW w:w="2084" w:type="pct"/>
          </w:tcPr>
          <w:p w14:paraId="3DA2EEC5" w14:textId="77777777" w:rsidR="00E200CF" w:rsidRDefault="00E200CF" w:rsidP="00C963CC">
            <w:pPr>
              <w:pStyle w:val="TitlePage2"/>
            </w:pPr>
            <w:bookmarkStart w:id="13" w:name="INSresponsibleAuthority"/>
            <w:bookmarkEnd w:id="6"/>
            <w:bookmarkEnd w:id="7"/>
            <w:bookmarkEnd w:id="9"/>
            <w:bookmarkEnd w:id="11"/>
            <w:bookmarkEnd w:id="13"/>
            <w:r>
              <w:t>WHERE HELD</w:t>
            </w:r>
          </w:p>
        </w:tc>
        <w:tc>
          <w:tcPr>
            <w:tcW w:w="2916" w:type="pct"/>
          </w:tcPr>
          <w:p w14:paraId="2EAEBE8E" w14:textId="77777777" w:rsidR="00E200CF" w:rsidRDefault="00E200CF" w:rsidP="00C963CC">
            <w:pPr>
              <w:pStyle w:val="TitlePagetext"/>
            </w:pPr>
            <w:bookmarkStart w:id="14" w:name="Location"/>
            <w:bookmarkEnd w:id="14"/>
            <w:r>
              <w:t>Melbourne</w:t>
            </w:r>
          </w:p>
        </w:tc>
      </w:tr>
      <w:tr w:rsidR="00E200CF" w14:paraId="504CD4AC" w14:textId="77777777" w:rsidTr="00C963CC">
        <w:tc>
          <w:tcPr>
            <w:tcW w:w="2084" w:type="pct"/>
          </w:tcPr>
          <w:p w14:paraId="6F5BBAE0" w14:textId="77777777" w:rsidR="00E200CF" w:rsidRDefault="00E200CF" w:rsidP="00C963CC">
            <w:pPr>
              <w:pStyle w:val="TitlePage2"/>
            </w:pPr>
            <w:r>
              <w:t>BEFORE</w:t>
            </w:r>
          </w:p>
        </w:tc>
        <w:tc>
          <w:tcPr>
            <w:tcW w:w="2916" w:type="pct"/>
          </w:tcPr>
          <w:p w14:paraId="2D1D18CA" w14:textId="77777777" w:rsidR="00E200CF" w:rsidRDefault="00AB5E1D" w:rsidP="00C963CC">
            <w:pPr>
              <w:pStyle w:val="TitlePagetext"/>
            </w:pPr>
            <w:bookmarkStart w:id="15" w:name="Before"/>
            <w:bookmarkEnd w:id="15"/>
            <w:r>
              <w:t>Michael Deidun, Member</w:t>
            </w:r>
          </w:p>
        </w:tc>
      </w:tr>
      <w:tr w:rsidR="00E200CF" w14:paraId="0FAA50D3" w14:textId="77777777" w:rsidTr="00C963CC">
        <w:tc>
          <w:tcPr>
            <w:tcW w:w="2084" w:type="pct"/>
          </w:tcPr>
          <w:p w14:paraId="2E87BBC7" w14:textId="77777777" w:rsidR="00E200CF" w:rsidRDefault="00E200CF" w:rsidP="00C963CC">
            <w:pPr>
              <w:pStyle w:val="TitlePage2"/>
            </w:pPr>
            <w:r>
              <w:t>HEARING TYPE</w:t>
            </w:r>
          </w:p>
        </w:tc>
        <w:tc>
          <w:tcPr>
            <w:tcW w:w="2916" w:type="pct"/>
          </w:tcPr>
          <w:p w14:paraId="283B8D59" w14:textId="77777777" w:rsidR="00E200CF" w:rsidRDefault="009F658E" w:rsidP="00C963CC">
            <w:pPr>
              <w:pStyle w:val="TitlePagetext"/>
            </w:pPr>
            <w:bookmarkStart w:id="16" w:name="HearingType"/>
            <w:bookmarkEnd w:id="16"/>
            <w:r>
              <w:t xml:space="preserve">Hearing </w:t>
            </w:r>
          </w:p>
        </w:tc>
      </w:tr>
      <w:tr w:rsidR="00E200CF" w14:paraId="560DD78F" w14:textId="77777777" w:rsidTr="00C963CC">
        <w:tc>
          <w:tcPr>
            <w:tcW w:w="2084" w:type="pct"/>
          </w:tcPr>
          <w:p w14:paraId="13EB58B1" w14:textId="77777777" w:rsidR="00E200CF" w:rsidRDefault="00E200CF" w:rsidP="00C963CC">
            <w:pPr>
              <w:pStyle w:val="TitlePage2"/>
            </w:pPr>
            <w:r>
              <w:t>DATE OF HEARING</w:t>
            </w:r>
          </w:p>
        </w:tc>
        <w:tc>
          <w:tcPr>
            <w:tcW w:w="2916" w:type="pct"/>
          </w:tcPr>
          <w:p w14:paraId="46B62DF5" w14:textId="77777777" w:rsidR="00E200CF" w:rsidRDefault="000D4E49" w:rsidP="00C963CC">
            <w:pPr>
              <w:pStyle w:val="TitlePagetext"/>
            </w:pPr>
            <w:bookmarkStart w:id="17" w:name="HearingDate"/>
            <w:bookmarkEnd w:id="17"/>
            <w:r>
              <w:t>18 December 2019</w:t>
            </w:r>
            <w:r w:rsidR="005D4C32">
              <w:t xml:space="preserve"> &amp; 14 February 2020</w:t>
            </w:r>
          </w:p>
        </w:tc>
      </w:tr>
      <w:tr w:rsidR="00E200CF" w14:paraId="1B6F1B6C" w14:textId="77777777" w:rsidTr="00C963CC">
        <w:tc>
          <w:tcPr>
            <w:tcW w:w="2084" w:type="pct"/>
          </w:tcPr>
          <w:p w14:paraId="6C1374B2" w14:textId="77777777" w:rsidR="00E200CF" w:rsidRDefault="00E200CF" w:rsidP="00C963CC">
            <w:pPr>
              <w:pStyle w:val="TitlePage2"/>
            </w:pPr>
            <w:r>
              <w:t>DATE OF ORDER</w:t>
            </w:r>
          </w:p>
        </w:tc>
        <w:tc>
          <w:tcPr>
            <w:tcW w:w="2916" w:type="pct"/>
          </w:tcPr>
          <w:p w14:paraId="4170B225" w14:textId="77777777" w:rsidR="00E200CF" w:rsidRDefault="00F50610" w:rsidP="00C963CC">
            <w:pPr>
              <w:pStyle w:val="TitlePagetext"/>
            </w:pPr>
            <w:bookmarkStart w:id="18" w:name="DateOrder"/>
            <w:bookmarkEnd w:id="18"/>
            <w:r>
              <w:t>2</w:t>
            </w:r>
            <w:r w:rsidR="00EF77D1">
              <w:t>5</w:t>
            </w:r>
            <w:r>
              <w:t xml:space="preserve"> February 2020</w:t>
            </w:r>
          </w:p>
        </w:tc>
      </w:tr>
      <w:tr w:rsidR="00E200CF" w14:paraId="31EB88DB" w14:textId="77777777" w:rsidTr="00C963CC">
        <w:tc>
          <w:tcPr>
            <w:tcW w:w="2084" w:type="pct"/>
          </w:tcPr>
          <w:p w14:paraId="107BB9E1" w14:textId="77777777" w:rsidR="00E200CF" w:rsidRDefault="00E200CF" w:rsidP="00C963CC">
            <w:pPr>
              <w:pStyle w:val="TitlePage2"/>
            </w:pPr>
            <w:r>
              <w:t>CITATION</w:t>
            </w:r>
          </w:p>
        </w:tc>
        <w:tc>
          <w:tcPr>
            <w:tcW w:w="2916" w:type="pct"/>
          </w:tcPr>
          <w:p w14:paraId="7596B6B1" w14:textId="77777777" w:rsidR="00E200CF" w:rsidRDefault="001276D6" w:rsidP="00C963CC">
            <w:pPr>
              <w:pStyle w:val="TitlePagetext"/>
            </w:pPr>
            <w:r>
              <w:t>Stefanutti v Whitehorse CC [2020] VCAT 229</w:t>
            </w:r>
          </w:p>
        </w:tc>
      </w:tr>
    </w:tbl>
    <w:p w14:paraId="33EE0A68" w14:textId="77777777" w:rsidR="00E200CF" w:rsidRDefault="00E200CF" w:rsidP="00E200CF"/>
    <w:p w14:paraId="4E12113F" w14:textId="77777777" w:rsidR="00E200CF" w:rsidRDefault="00E200CF" w:rsidP="00E200CF">
      <w:pPr>
        <w:pStyle w:val="Heading1"/>
      </w:pPr>
      <w:r>
        <w:t>Order</w:t>
      </w:r>
    </w:p>
    <w:p w14:paraId="262C7315" w14:textId="77777777" w:rsidR="00E200CF" w:rsidRPr="00613A91" w:rsidRDefault="00E200CF" w:rsidP="00E200CF">
      <w:pPr>
        <w:pStyle w:val="Order2"/>
      </w:pPr>
      <w:r w:rsidRPr="00613A91">
        <w:t xml:space="preserve">In application </w:t>
      </w:r>
      <w:r w:rsidR="000D4E49">
        <w:t>P1192/2019</w:t>
      </w:r>
      <w:r w:rsidR="00555296">
        <w:t xml:space="preserve"> </w:t>
      </w:r>
      <w:r w:rsidRPr="00613A91">
        <w:t>the decision of the responsible authority is affirmed.</w:t>
      </w:r>
    </w:p>
    <w:p w14:paraId="1247B443" w14:textId="77777777" w:rsidR="00E200CF" w:rsidRPr="00613A91" w:rsidRDefault="00E200CF" w:rsidP="00E200CF">
      <w:pPr>
        <w:pStyle w:val="Order2"/>
      </w:pPr>
      <w:r w:rsidRPr="00613A91">
        <w:t xml:space="preserve">In planning permit application </w:t>
      </w:r>
      <w:r w:rsidR="000D4E49">
        <w:t>WH/2018/1171</w:t>
      </w:r>
      <w:r w:rsidRPr="00613A91">
        <w:t xml:space="preserve"> no permit is granted.</w:t>
      </w:r>
    </w:p>
    <w:p w14:paraId="63DB3AB1" w14:textId="77777777" w:rsidR="00E200CF" w:rsidRDefault="00E200CF" w:rsidP="00E200CF"/>
    <w:p w14:paraId="6C6775A9" w14:textId="77777777" w:rsidR="00E200CF" w:rsidRDefault="00E200CF" w:rsidP="00E200CF"/>
    <w:p w14:paraId="5819BAAC" w14:textId="77777777" w:rsidR="00E200CF" w:rsidRDefault="00E200CF" w:rsidP="00E200CF"/>
    <w:p w14:paraId="6E1B3013" w14:textId="77777777" w:rsidR="00E200CF" w:rsidRDefault="00E200CF" w:rsidP="00E200CF"/>
    <w:tbl>
      <w:tblPr>
        <w:tblW w:w="4999" w:type="pct"/>
        <w:tblLook w:val="0000" w:firstRow="0" w:lastRow="0" w:firstColumn="0" w:lastColumn="0" w:noHBand="0" w:noVBand="0"/>
      </w:tblPr>
      <w:tblGrid>
        <w:gridCol w:w="3561"/>
        <w:gridCol w:w="1935"/>
        <w:gridCol w:w="3007"/>
      </w:tblGrid>
      <w:tr w:rsidR="00555296" w14:paraId="6ACE8C63" w14:textId="77777777" w:rsidTr="00555296">
        <w:tc>
          <w:tcPr>
            <w:tcW w:w="2094" w:type="pct"/>
          </w:tcPr>
          <w:p w14:paraId="24102FB5" w14:textId="77777777" w:rsidR="00555296" w:rsidRDefault="00AB5E1D" w:rsidP="00555296">
            <w:pPr>
              <w:tabs>
                <w:tab w:val="left" w:pos="1515"/>
              </w:tabs>
              <w:spacing w:before="80" w:after="100"/>
              <w:rPr>
                <w:rFonts w:ascii="Times New Roman Bold" w:hAnsi="Times New Roman Bold"/>
                <w:b/>
              </w:rPr>
            </w:pPr>
            <w:bookmarkStart w:id="19" w:name="DELappearances"/>
            <w:r>
              <w:rPr>
                <w:rFonts w:ascii="Times New Roman Bold" w:hAnsi="Times New Roman Bold"/>
                <w:b/>
              </w:rPr>
              <w:t>Michael Deidun</w:t>
            </w:r>
          </w:p>
        </w:tc>
        <w:tc>
          <w:tcPr>
            <w:tcW w:w="1138" w:type="pct"/>
          </w:tcPr>
          <w:p w14:paraId="1C02EE53" w14:textId="77777777" w:rsidR="00555296" w:rsidRDefault="00555296" w:rsidP="00555296"/>
        </w:tc>
        <w:tc>
          <w:tcPr>
            <w:tcW w:w="1768" w:type="pct"/>
          </w:tcPr>
          <w:p w14:paraId="377DA924" w14:textId="77777777" w:rsidR="00555296" w:rsidRDefault="00555296" w:rsidP="00555296"/>
        </w:tc>
      </w:tr>
      <w:tr w:rsidR="00555296" w14:paraId="509384B0" w14:textId="77777777" w:rsidTr="00555296">
        <w:tc>
          <w:tcPr>
            <w:tcW w:w="2094" w:type="pct"/>
          </w:tcPr>
          <w:p w14:paraId="10ECA8A8" w14:textId="77777777" w:rsidR="00555296" w:rsidRPr="00AB5E1D" w:rsidRDefault="00555296" w:rsidP="00555296">
            <w:pPr>
              <w:spacing w:before="80" w:after="100"/>
              <w:rPr>
                <w:b/>
              </w:rPr>
            </w:pPr>
            <w:r w:rsidRPr="00AB5E1D">
              <w:rPr>
                <w:b/>
              </w:rPr>
              <w:t>Member</w:t>
            </w:r>
          </w:p>
        </w:tc>
        <w:tc>
          <w:tcPr>
            <w:tcW w:w="1138" w:type="pct"/>
          </w:tcPr>
          <w:p w14:paraId="620EDDB7" w14:textId="77777777" w:rsidR="00555296" w:rsidRDefault="00555296" w:rsidP="00555296"/>
        </w:tc>
        <w:tc>
          <w:tcPr>
            <w:tcW w:w="1768" w:type="pct"/>
          </w:tcPr>
          <w:p w14:paraId="6F5CA785" w14:textId="77777777" w:rsidR="00555296" w:rsidRDefault="00555296" w:rsidP="00555296"/>
        </w:tc>
      </w:tr>
    </w:tbl>
    <w:p w14:paraId="46563904" w14:textId="77777777" w:rsidR="00E200CF" w:rsidRDefault="00E200CF" w:rsidP="00E200CF"/>
    <w:p w14:paraId="74D62990" w14:textId="77777777" w:rsidR="00E200CF" w:rsidRDefault="00AA7EAD" w:rsidP="00E200CF">
      <w:r>
        <w:rPr>
          <w:noProof/>
        </w:rPr>
        <w:lastRenderedPageBreak/>
        <w:drawing>
          <wp:anchor distT="0" distB="0" distL="114300" distR="114300" simplePos="0" relativeHeight="251659264" behindDoc="1" locked="0" layoutInCell="1" allowOverlap="1" wp14:anchorId="0AE3ADDE" wp14:editId="5B91CE93">
            <wp:simplePos x="0" y="0"/>
            <wp:positionH relativeFrom="column">
              <wp:posOffset>5183505</wp:posOffset>
            </wp:positionH>
            <wp:positionV relativeFrom="paragraph">
              <wp:posOffset>8459470</wp:posOffset>
            </wp:positionV>
            <wp:extent cx="1080000" cy="1080000"/>
            <wp:effectExtent l="0" t="0" r="6350" b="6350"/>
            <wp:wrapNone/>
            <wp:docPr id="2" name="VCAT Seal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8">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p>
    <w:p w14:paraId="570574B8" w14:textId="77777777" w:rsidR="00E200CF" w:rsidRDefault="00E200CF" w:rsidP="00E200CF">
      <w:pPr>
        <w:pStyle w:val="Heading1"/>
        <w:rPr>
          <w:highlight w:val="yellow"/>
        </w:rPr>
      </w:pPr>
      <w:r>
        <w:t>Appearances</w:t>
      </w:r>
    </w:p>
    <w:tbl>
      <w:tblPr>
        <w:tblW w:w="5000" w:type="pct"/>
        <w:tblLook w:val="0000" w:firstRow="0" w:lastRow="0" w:firstColumn="0" w:lastColumn="0" w:noHBand="0" w:noVBand="0"/>
      </w:tblPr>
      <w:tblGrid>
        <w:gridCol w:w="3441"/>
        <w:gridCol w:w="5064"/>
      </w:tblGrid>
      <w:tr w:rsidR="00E200CF" w14:paraId="72E15F28" w14:textId="77777777" w:rsidTr="00C963CC">
        <w:trPr>
          <w:cantSplit/>
        </w:trPr>
        <w:tc>
          <w:tcPr>
            <w:tcW w:w="2023" w:type="pct"/>
          </w:tcPr>
          <w:p w14:paraId="075B96FB" w14:textId="77777777" w:rsidR="00E200CF" w:rsidRDefault="00E200CF" w:rsidP="00C963CC">
            <w:pPr>
              <w:pStyle w:val="TitlePagetext"/>
            </w:pPr>
            <w:r>
              <w:t>For applicant</w:t>
            </w:r>
          </w:p>
        </w:tc>
        <w:tc>
          <w:tcPr>
            <w:tcW w:w="2977" w:type="pct"/>
          </w:tcPr>
          <w:p w14:paraId="5FBBD062" w14:textId="77777777" w:rsidR="00AB5E1D" w:rsidRDefault="00361273" w:rsidP="00AB5E1D">
            <w:pPr>
              <w:pStyle w:val="TitlePagetext"/>
            </w:pPr>
            <w:r>
              <w:t>Panos Nickas, Solicitor of Nickas Legal</w:t>
            </w:r>
          </w:p>
          <w:p w14:paraId="43361818" w14:textId="77777777" w:rsidR="00AB5E1D" w:rsidRDefault="00AB5E1D" w:rsidP="00AB5E1D">
            <w:pPr>
              <w:pStyle w:val="TitlePagetext"/>
            </w:pPr>
            <w:r w:rsidRPr="00361273">
              <w:t>He called the following witnesses:</w:t>
            </w:r>
          </w:p>
          <w:p w14:paraId="0D47180E" w14:textId="77777777" w:rsidR="00E200CF" w:rsidRDefault="00AD32E7" w:rsidP="00AB5E1D">
            <w:pPr>
              <w:pStyle w:val="TitlePagetext"/>
              <w:numPr>
                <w:ilvl w:val="0"/>
                <w:numId w:val="18"/>
              </w:numPr>
              <w:ind w:left="414"/>
            </w:pPr>
            <w:r>
              <w:t>Andrea Pagliaro (town planner) of Urbis</w:t>
            </w:r>
          </w:p>
          <w:p w14:paraId="7B728190" w14:textId="77777777" w:rsidR="00AD32E7" w:rsidRDefault="00AD32E7" w:rsidP="00AB5E1D">
            <w:pPr>
              <w:pStyle w:val="TitlePagetext"/>
              <w:numPr>
                <w:ilvl w:val="0"/>
                <w:numId w:val="18"/>
              </w:numPr>
              <w:ind w:left="414"/>
            </w:pPr>
            <w:r>
              <w:t>Mark Reynolds (arborist) of Arbor Survey</w:t>
            </w:r>
          </w:p>
        </w:tc>
      </w:tr>
      <w:tr w:rsidR="00E200CF" w14:paraId="29968527" w14:textId="77777777" w:rsidTr="00C963CC">
        <w:trPr>
          <w:cantSplit/>
        </w:trPr>
        <w:tc>
          <w:tcPr>
            <w:tcW w:w="2023" w:type="pct"/>
          </w:tcPr>
          <w:p w14:paraId="4B0C6676" w14:textId="77777777" w:rsidR="00E200CF" w:rsidRDefault="00E200CF" w:rsidP="00C963CC">
            <w:pPr>
              <w:pStyle w:val="TitlePagetext"/>
            </w:pPr>
            <w:r>
              <w:t>For responsible authority</w:t>
            </w:r>
          </w:p>
        </w:tc>
        <w:tc>
          <w:tcPr>
            <w:tcW w:w="2977" w:type="pct"/>
          </w:tcPr>
          <w:p w14:paraId="35C38A1F" w14:textId="77777777" w:rsidR="00E200CF" w:rsidRDefault="00356211" w:rsidP="00C963CC">
            <w:pPr>
              <w:pStyle w:val="TitlePagetext"/>
            </w:pPr>
            <w:r>
              <w:t>David Song, Town Planner of Song Bowden</w:t>
            </w:r>
            <w:r w:rsidR="00361273">
              <w:t xml:space="preserve"> Planning</w:t>
            </w:r>
          </w:p>
        </w:tc>
      </w:tr>
      <w:tr w:rsidR="00E200CF" w14:paraId="0637D57B" w14:textId="77777777" w:rsidTr="00C963CC">
        <w:trPr>
          <w:cantSplit/>
        </w:trPr>
        <w:tc>
          <w:tcPr>
            <w:tcW w:w="2023" w:type="pct"/>
          </w:tcPr>
          <w:p w14:paraId="0E7F045C" w14:textId="77777777" w:rsidR="00E200CF" w:rsidRDefault="00E200CF" w:rsidP="00C963CC">
            <w:pPr>
              <w:pStyle w:val="TitlePagetext"/>
            </w:pPr>
            <w:r w:rsidRPr="00D64D3E">
              <w:t xml:space="preserve">For </w:t>
            </w:r>
            <w:r>
              <w:t>r</w:t>
            </w:r>
            <w:r w:rsidRPr="00D64D3E">
              <w:t xml:space="preserve">eferral </w:t>
            </w:r>
            <w:r>
              <w:t>a</w:t>
            </w:r>
            <w:r w:rsidRPr="00D64D3E">
              <w:t>uthority</w:t>
            </w:r>
          </w:p>
        </w:tc>
        <w:tc>
          <w:tcPr>
            <w:tcW w:w="2977" w:type="pct"/>
          </w:tcPr>
          <w:p w14:paraId="39D6F312" w14:textId="77777777" w:rsidR="00E200CF" w:rsidRDefault="00DA7FAD" w:rsidP="00C963CC">
            <w:pPr>
              <w:pStyle w:val="TitlePagetext"/>
            </w:pPr>
            <w:r>
              <w:t>No appearance</w:t>
            </w:r>
          </w:p>
        </w:tc>
      </w:tr>
      <w:tr w:rsidR="00E200CF" w14:paraId="5663332F" w14:textId="77777777" w:rsidTr="00C963CC">
        <w:trPr>
          <w:cantSplit/>
        </w:trPr>
        <w:tc>
          <w:tcPr>
            <w:tcW w:w="2023" w:type="pct"/>
          </w:tcPr>
          <w:p w14:paraId="27057E4A" w14:textId="77777777" w:rsidR="00E200CF" w:rsidRDefault="00E200CF" w:rsidP="00C963CC">
            <w:pPr>
              <w:pStyle w:val="TitlePagetext"/>
            </w:pPr>
            <w:r>
              <w:t>For respondent</w:t>
            </w:r>
            <w:bookmarkStart w:id="20" w:name="FORres"/>
            <w:bookmarkEnd w:id="20"/>
            <w:r w:rsidR="00AD32E7">
              <w:t>s</w:t>
            </w:r>
          </w:p>
        </w:tc>
        <w:tc>
          <w:tcPr>
            <w:tcW w:w="2977" w:type="pct"/>
          </w:tcPr>
          <w:p w14:paraId="18CAB5FA" w14:textId="77777777" w:rsidR="00E200CF" w:rsidRDefault="00361273" w:rsidP="00C963CC">
            <w:pPr>
              <w:pStyle w:val="TitlePagetext"/>
            </w:pPr>
            <w:bookmarkStart w:id="21" w:name="APPres"/>
            <w:bookmarkEnd w:id="21"/>
            <w:r>
              <w:t>Dianne Tribe appeared in person</w:t>
            </w:r>
            <w:r w:rsidR="00BC72AF">
              <w:t xml:space="preserve"> (Day 1)</w:t>
            </w:r>
          </w:p>
          <w:p w14:paraId="33B3EA2C" w14:textId="77777777" w:rsidR="00361273" w:rsidRDefault="00361273" w:rsidP="00C963CC">
            <w:pPr>
              <w:pStyle w:val="TitlePagetext"/>
            </w:pPr>
            <w:r>
              <w:t>Mike Taafe appeared on behalf of the Blackburn Village Residents Group Inc</w:t>
            </w:r>
          </w:p>
          <w:p w14:paraId="182B7639" w14:textId="77777777" w:rsidR="00361273" w:rsidRDefault="00361273" w:rsidP="00C963CC">
            <w:pPr>
              <w:pStyle w:val="TitlePagetext"/>
            </w:pPr>
            <w:r>
              <w:t>David Berry appeared on behalf of the Blackburn &amp; District Tree Preservation Society Inc</w:t>
            </w:r>
          </w:p>
        </w:tc>
      </w:tr>
      <w:bookmarkEnd w:id="19"/>
    </w:tbl>
    <w:p w14:paraId="36AF810B" w14:textId="77777777" w:rsidR="00E200CF" w:rsidRPr="00303C52" w:rsidRDefault="00E200CF" w:rsidP="00E200CF">
      <w:pPr>
        <w:pStyle w:val="Order1"/>
        <w:rPr>
          <w:color w:val="2E74B5"/>
        </w:rPr>
      </w:pPr>
    </w:p>
    <w:p w14:paraId="05F65D37" w14:textId="77777777" w:rsidR="00E200CF" w:rsidRDefault="00E200CF" w:rsidP="00E200CF"/>
    <w:p w14:paraId="5762AEC4" w14:textId="77777777" w:rsidR="00E200CF" w:rsidRDefault="00E200CF" w:rsidP="00E200CF">
      <w:r>
        <w:br w:type="page"/>
      </w:r>
    </w:p>
    <w:p w14:paraId="7FD78059" w14:textId="77777777" w:rsidR="00E200CF" w:rsidRDefault="00AA7EAD" w:rsidP="00E200CF">
      <w:pPr>
        <w:pStyle w:val="Heading1"/>
        <w:rPr>
          <w:highlight w:val="yellow"/>
        </w:rPr>
      </w:pPr>
      <w:r>
        <w:rPr>
          <w:noProof/>
        </w:rPr>
        <w:lastRenderedPageBreak/>
        <w:drawing>
          <wp:anchor distT="0" distB="0" distL="114300" distR="114300" simplePos="0" relativeHeight="251660288" behindDoc="1" locked="0" layoutInCell="1" allowOverlap="1" wp14:anchorId="03AECEB3" wp14:editId="643C4EB7">
            <wp:simplePos x="0" y="0"/>
            <wp:positionH relativeFrom="column">
              <wp:posOffset>5183505</wp:posOffset>
            </wp:positionH>
            <wp:positionV relativeFrom="paragraph">
              <wp:posOffset>8459470</wp:posOffset>
            </wp:positionV>
            <wp:extent cx="1080000" cy="1080000"/>
            <wp:effectExtent l="0" t="0" r="6350" b="6350"/>
            <wp:wrapNone/>
            <wp:docPr id="3" name="VCAT Seal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8">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00E200CF">
        <w:t>Information</w:t>
      </w:r>
    </w:p>
    <w:tbl>
      <w:tblPr>
        <w:tblW w:w="5000" w:type="pct"/>
        <w:tblLook w:val="0000" w:firstRow="0" w:lastRow="0" w:firstColumn="0" w:lastColumn="0" w:noHBand="0" w:noVBand="0"/>
      </w:tblPr>
      <w:tblGrid>
        <w:gridCol w:w="3273"/>
        <w:gridCol w:w="5232"/>
      </w:tblGrid>
      <w:tr w:rsidR="00E200CF" w14:paraId="28133D87" w14:textId="77777777" w:rsidTr="00C963CC">
        <w:trPr>
          <w:cantSplit/>
        </w:trPr>
        <w:tc>
          <w:tcPr>
            <w:tcW w:w="1924" w:type="pct"/>
          </w:tcPr>
          <w:p w14:paraId="0963CCCC" w14:textId="77777777" w:rsidR="00E200CF" w:rsidRDefault="00E200CF" w:rsidP="00C963CC">
            <w:pPr>
              <w:pStyle w:val="TitlePagetext"/>
            </w:pPr>
            <w:r>
              <w:t>Description of proposal</w:t>
            </w:r>
          </w:p>
        </w:tc>
        <w:tc>
          <w:tcPr>
            <w:tcW w:w="3076" w:type="pct"/>
          </w:tcPr>
          <w:p w14:paraId="54B46854" w14:textId="77777777" w:rsidR="00E200CF" w:rsidRPr="00851E10" w:rsidRDefault="00AD32E7" w:rsidP="00C963CC">
            <w:pPr>
              <w:pStyle w:val="TitlePagetext"/>
            </w:pPr>
            <w:r>
              <w:t>Subdivision of the land into two allotments</w:t>
            </w:r>
          </w:p>
        </w:tc>
      </w:tr>
      <w:tr w:rsidR="00E200CF" w14:paraId="3D270B5E" w14:textId="77777777" w:rsidTr="00C963CC">
        <w:trPr>
          <w:cantSplit/>
        </w:trPr>
        <w:tc>
          <w:tcPr>
            <w:tcW w:w="1924" w:type="pct"/>
          </w:tcPr>
          <w:p w14:paraId="052C23D0" w14:textId="77777777" w:rsidR="00E200CF" w:rsidRDefault="00E200CF" w:rsidP="00C963CC">
            <w:pPr>
              <w:pStyle w:val="TitlePagetext"/>
            </w:pPr>
            <w:r>
              <w:t>Nature of proceeding</w:t>
            </w:r>
          </w:p>
        </w:tc>
        <w:tc>
          <w:tcPr>
            <w:tcW w:w="3076" w:type="pct"/>
          </w:tcPr>
          <w:p w14:paraId="096685C8" w14:textId="77777777" w:rsidR="00E200CF" w:rsidRPr="00AD32E7" w:rsidRDefault="000003F2" w:rsidP="00AD32E7">
            <w:pPr>
              <w:pStyle w:val="TitlePagetext"/>
            </w:pPr>
            <w:r>
              <w:t xml:space="preserve">Application under section 77 of the </w:t>
            </w:r>
            <w:r>
              <w:rPr>
                <w:i/>
              </w:rPr>
              <w:t>Planning and Environment Act 1987</w:t>
            </w:r>
            <w:r>
              <w:t xml:space="preserve"> – to review the refusal to grant a permit. </w:t>
            </w:r>
            <w:r>
              <w:rPr>
                <w:sz w:val="24"/>
                <w:szCs w:val="24"/>
                <w:lang w:eastAsia="en-AU"/>
              </w:rPr>
              <w:t xml:space="preserve"> </w:t>
            </w:r>
          </w:p>
        </w:tc>
      </w:tr>
      <w:tr w:rsidR="00E200CF" w14:paraId="2B5C43CB" w14:textId="77777777" w:rsidTr="00C963CC">
        <w:trPr>
          <w:cantSplit/>
        </w:trPr>
        <w:tc>
          <w:tcPr>
            <w:tcW w:w="1924" w:type="pct"/>
          </w:tcPr>
          <w:p w14:paraId="1DEBFA74" w14:textId="77777777" w:rsidR="00E200CF" w:rsidRPr="005C699E" w:rsidRDefault="00E200CF" w:rsidP="00C963CC">
            <w:pPr>
              <w:pStyle w:val="TitlePagetext"/>
            </w:pPr>
            <w:r>
              <w:t>Planning scheme</w:t>
            </w:r>
          </w:p>
        </w:tc>
        <w:tc>
          <w:tcPr>
            <w:tcW w:w="3076" w:type="pct"/>
          </w:tcPr>
          <w:p w14:paraId="00F3FDCD" w14:textId="77777777" w:rsidR="00E200CF" w:rsidRPr="00851E10" w:rsidRDefault="00AD32E7" w:rsidP="00C963CC">
            <w:pPr>
              <w:pStyle w:val="TitlePagetext"/>
            </w:pPr>
            <w:r>
              <w:t>Whitehorse Planning Scheme</w:t>
            </w:r>
          </w:p>
        </w:tc>
      </w:tr>
      <w:tr w:rsidR="00E200CF" w14:paraId="372B4B7C" w14:textId="77777777" w:rsidTr="00C963CC">
        <w:trPr>
          <w:cantSplit/>
        </w:trPr>
        <w:tc>
          <w:tcPr>
            <w:tcW w:w="1924" w:type="pct"/>
          </w:tcPr>
          <w:p w14:paraId="0DA17D92" w14:textId="77777777" w:rsidR="00E200CF" w:rsidRDefault="00E200CF" w:rsidP="00C963CC">
            <w:pPr>
              <w:pStyle w:val="TitlePagetext"/>
            </w:pPr>
            <w:r w:rsidRPr="005C699E">
              <w:t xml:space="preserve">Zone and </w:t>
            </w:r>
            <w:r>
              <w:t>o</w:t>
            </w:r>
            <w:r w:rsidRPr="005C699E">
              <w:t>verlays</w:t>
            </w:r>
          </w:p>
        </w:tc>
        <w:tc>
          <w:tcPr>
            <w:tcW w:w="3076" w:type="pct"/>
          </w:tcPr>
          <w:p w14:paraId="075AF936" w14:textId="77777777" w:rsidR="00E200CF" w:rsidRDefault="00AD32E7" w:rsidP="00C963CC">
            <w:pPr>
              <w:pStyle w:val="TitlePagetext"/>
            </w:pPr>
            <w:r>
              <w:t>Neighbourhood Residential Zone 1</w:t>
            </w:r>
          </w:p>
          <w:p w14:paraId="48173A10" w14:textId="77777777" w:rsidR="00AD32E7" w:rsidRDefault="00AD32E7" w:rsidP="00C963CC">
            <w:pPr>
              <w:pStyle w:val="TitlePagetext"/>
            </w:pPr>
            <w:r>
              <w:t>Significant Landscape Overlay 2</w:t>
            </w:r>
          </w:p>
          <w:p w14:paraId="3E1B44CD" w14:textId="77777777" w:rsidR="00AD32E7" w:rsidRPr="00851E10" w:rsidRDefault="00AD32E7" w:rsidP="00C963CC">
            <w:pPr>
              <w:pStyle w:val="TitlePagetext"/>
            </w:pPr>
            <w:r>
              <w:t>Special Building Overlay</w:t>
            </w:r>
          </w:p>
        </w:tc>
      </w:tr>
      <w:tr w:rsidR="00E200CF" w14:paraId="55FED59C" w14:textId="77777777" w:rsidTr="00C963CC">
        <w:trPr>
          <w:cantSplit/>
        </w:trPr>
        <w:tc>
          <w:tcPr>
            <w:tcW w:w="1924" w:type="pct"/>
          </w:tcPr>
          <w:p w14:paraId="12FB93D0" w14:textId="77777777" w:rsidR="00E200CF" w:rsidRPr="005C699E" w:rsidRDefault="00E200CF" w:rsidP="00C963CC">
            <w:pPr>
              <w:pStyle w:val="TitlePagetext"/>
            </w:pPr>
            <w:r>
              <w:t>Permit requirements</w:t>
            </w:r>
          </w:p>
        </w:tc>
        <w:tc>
          <w:tcPr>
            <w:tcW w:w="3076" w:type="pct"/>
          </w:tcPr>
          <w:p w14:paraId="58625C24" w14:textId="77777777" w:rsidR="00AD32E7" w:rsidRDefault="00AD32E7" w:rsidP="00C963CC">
            <w:pPr>
              <w:pStyle w:val="TitlePagetext"/>
            </w:pPr>
            <w:r>
              <w:t>Clause 32.09-3 to subdivide land within the Neighbourhood Residential Zone</w:t>
            </w:r>
          </w:p>
          <w:p w14:paraId="5075B927" w14:textId="77777777" w:rsidR="00C1567D" w:rsidRDefault="00AD32E7" w:rsidP="00C963CC">
            <w:pPr>
              <w:pStyle w:val="TitlePagetext"/>
            </w:pPr>
            <w:r>
              <w:t>Clause 42.03-2 to remove vegetation on land to which the Significant Landscape Overlay applies</w:t>
            </w:r>
          </w:p>
          <w:p w14:paraId="4F4CF278" w14:textId="77777777" w:rsidR="00AD32E7" w:rsidRPr="00C1567D" w:rsidRDefault="00AD32E7" w:rsidP="00C963CC">
            <w:pPr>
              <w:pStyle w:val="TitlePagetext"/>
            </w:pPr>
            <w:r>
              <w:t xml:space="preserve">Clause </w:t>
            </w:r>
            <w:r w:rsidR="00FD256F">
              <w:t>44.05-3 to subdivide land to which the Special Building Overlay applies.</w:t>
            </w:r>
          </w:p>
        </w:tc>
      </w:tr>
      <w:tr w:rsidR="000003F2" w14:paraId="566F6CC9" w14:textId="77777777" w:rsidTr="00C963CC">
        <w:trPr>
          <w:cantSplit/>
        </w:trPr>
        <w:tc>
          <w:tcPr>
            <w:tcW w:w="1924" w:type="pct"/>
          </w:tcPr>
          <w:p w14:paraId="2C55B0B8" w14:textId="77777777" w:rsidR="000003F2" w:rsidRDefault="000003F2" w:rsidP="00C963CC">
            <w:pPr>
              <w:pStyle w:val="TitlePagetext"/>
            </w:pPr>
            <w:r>
              <w:t>Relevant scheme policies and provisions</w:t>
            </w:r>
          </w:p>
        </w:tc>
        <w:tc>
          <w:tcPr>
            <w:tcW w:w="3076" w:type="pct"/>
          </w:tcPr>
          <w:p w14:paraId="6E693DA9" w14:textId="77777777" w:rsidR="000003F2" w:rsidRPr="00851E10" w:rsidRDefault="00AB5E1D" w:rsidP="00C963CC">
            <w:pPr>
              <w:pStyle w:val="TitlePagetext"/>
            </w:pPr>
            <w:r>
              <w:t xml:space="preserve">Clauses 11, </w:t>
            </w:r>
            <w:r w:rsidR="00361273">
              <w:t xml:space="preserve">12, </w:t>
            </w:r>
            <w:r>
              <w:t>15</w:t>
            </w:r>
            <w:r w:rsidRPr="00361273">
              <w:t>, 16, 21, 22.</w:t>
            </w:r>
            <w:r w:rsidR="00361273" w:rsidRPr="00361273">
              <w:t>03</w:t>
            </w:r>
            <w:r w:rsidRPr="00361273">
              <w:t>, 22.</w:t>
            </w:r>
            <w:r w:rsidR="00361273" w:rsidRPr="00361273">
              <w:t>04</w:t>
            </w:r>
            <w:r w:rsidRPr="00361273">
              <w:t>, 32</w:t>
            </w:r>
            <w:r>
              <w:t>.0</w:t>
            </w:r>
            <w:r w:rsidR="00FD256F">
              <w:t>9</w:t>
            </w:r>
            <w:r>
              <w:t>,</w:t>
            </w:r>
            <w:r w:rsidR="00FD256F">
              <w:t xml:space="preserve"> 42.03, 44.05,</w:t>
            </w:r>
            <w:r>
              <w:t xml:space="preserve"> 52.06, 5</w:t>
            </w:r>
            <w:r w:rsidR="00FD256F">
              <w:t>6</w:t>
            </w:r>
            <w:r>
              <w:t>, 65 and 71.02.</w:t>
            </w:r>
          </w:p>
        </w:tc>
      </w:tr>
      <w:tr w:rsidR="00E200CF" w14:paraId="45E717CE" w14:textId="77777777" w:rsidTr="00C963CC">
        <w:trPr>
          <w:cantSplit/>
        </w:trPr>
        <w:tc>
          <w:tcPr>
            <w:tcW w:w="1924" w:type="pct"/>
          </w:tcPr>
          <w:p w14:paraId="0BAD468C" w14:textId="77777777" w:rsidR="00E200CF" w:rsidRDefault="00E200CF" w:rsidP="00C963CC">
            <w:pPr>
              <w:pStyle w:val="TitlePagetext"/>
            </w:pPr>
            <w:r>
              <w:t>Land description</w:t>
            </w:r>
          </w:p>
        </w:tc>
        <w:tc>
          <w:tcPr>
            <w:tcW w:w="3076" w:type="pct"/>
          </w:tcPr>
          <w:p w14:paraId="11780F13" w14:textId="77777777" w:rsidR="00E200CF" w:rsidRPr="00851E10" w:rsidRDefault="00C71BA3" w:rsidP="00C963CC">
            <w:pPr>
              <w:pStyle w:val="TitlePagetext"/>
            </w:pPr>
            <w:r>
              <w:t>The land is an irregular shaped parcel, with a frontage to Naughton Grove of 56.8 metres, and an overall area of 1477 square metres.  The land presently supports a double storey detached dwelling.</w:t>
            </w:r>
          </w:p>
        </w:tc>
      </w:tr>
      <w:tr w:rsidR="00E200CF" w14:paraId="67552298" w14:textId="77777777" w:rsidTr="00C963CC">
        <w:trPr>
          <w:cantSplit/>
        </w:trPr>
        <w:tc>
          <w:tcPr>
            <w:tcW w:w="1924" w:type="pct"/>
          </w:tcPr>
          <w:p w14:paraId="4D8913C0" w14:textId="77777777" w:rsidR="00E200CF" w:rsidRDefault="00E200CF" w:rsidP="00C963CC">
            <w:pPr>
              <w:pStyle w:val="TitlePagetext"/>
            </w:pPr>
            <w:r>
              <w:t>Tribunal inspection</w:t>
            </w:r>
          </w:p>
        </w:tc>
        <w:tc>
          <w:tcPr>
            <w:tcW w:w="3076" w:type="pct"/>
          </w:tcPr>
          <w:p w14:paraId="1EC78564" w14:textId="77777777" w:rsidR="00E200CF" w:rsidRPr="00851E10" w:rsidRDefault="00C71BA3" w:rsidP="00C963CC">
            <w:pPr>
              <w:pStyle w:val="TitlePagetext"/>
            </w:pPr>
            <w:r>
              <w:t>The Tribunal inspected the site and surrounding area prior to the hearing, on 10 December 2019.</w:t>
            </w:r>
          </w:p>
        </w:tc>
      </w:tr>
    </w:tbl>
    <w:p w14:paraId="481D162F" w14:textId="77777777" w:rsidR="00E200CF" w:rsidRDefault="00E200CF" w:rsidP="00E200CF">
      <w:pPr>
        <w:pStyle w:val="Order1"/>
      </w:pPr>
    </w:p>
    <w:p w14:paraId="1EE8D14F" w14:textId="77777777" w:rsidR="00E200CF" w:rsidRDefault="00E200CF" w:rsidP="00E200CF">
      <w:pPr>
        <w:pStyle w:val="Heading1"/>
      </w:pPr>
      <w:r>
        <w:br w:type="page"/>
      </w:r>
      <w:r w:rsidR="00AA7EAD">
        <w:rPr>
          <w:noProof/>
        </w:rPr>
        <w:lastRenderedPageBreak/>
        <w:drawing>
          <wp:anchor distT="0" distB="0" distL="114300" distR="114300" simplePos="0" relativeHeight="251661312" behindDoc="1" locked="0" layoutInCell="1" allowOverlap="1" wp14:anchorId="78A4AA54" wp14:editId="60274F46">
            <wp:simplePos x="0" y="0"/>
            <wp:positionH relativeFrom="column">
              <wp:posOffset>5183505</wp:posOffset>
            </wp:positionH>
            <wp:positionV relativeFrom="paragraph">
              <wp:posOffset>8459470</wp:posOffset>
            </wp:positionV>
            <wp:extent cx="1080000" cy="1080000"/>
            <wp:effectExtent l="0" t="0" r="6350" b="6350"/>
            <wp:wrapNone/>
            <wp:docPr id="4" name="VCAT Seal4"/>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8">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t>Reasons</w:t>
      </w:r>
      <w:r>
        <w:rPr>
          <w:rStyle w:val="FootnoteReference"/>
        </w:rPr>
        <w:footnoteReference w:id="1"/>
      </w:r>
    </w:p>
    <w:p w14:paraId="64B27B12" w14:textId="77777777" w:rsidR="00E200CF" w:rsidRDefault="00E200CF" w:rsidP="00E200CF">
      <w:pPr>
        <w:pStyle w:val="Heading2"/>
      </w:pPr>
      <w:r>
        <w:t xml:space="preserve">What is this </w:t>
      </w:r>
      <w:r w:rsidRPr="004413F4">
        <w:t>proceeding</w:t>
      </w:r>
      <w:r>
        <w:t xml:space="preserve"> about?</w:t>
      </w:r>
    </w:p>
    <w:p w14:paraId="2E28444C" w14:textId="77777777" w:rsidR="00AB5E1D" w:rsidRDefault="00C71BA3" w:rsidP="00AB5E1D">
      <w:pPr>
        <w:pStyle w:val="Para1"/>
      </w:pPr>
      <w:r>
        <w:t>Vivienne &amp; Giorgio Stefanutti (the ‘Applicants’) seek to review the decision of the Whitehorse City Council to refuse to grant a permit for a two lot subdivision and removal of vegetation on land at 1-3 Naughton Grove, Blackburn (the ‘review site’).  The Council’s grounds of refusal raise concerns with the landscape and neighbourhood character outcomes form the proposal, the uncertainty of the future form of development, and compliance with a range of planning policy and Clause 56 standards.</w:t>
      </w:r>
    </w:p>
    <w:p w14:paraId="59D0DA85" w14:textId="77777777" w:rsidR="00C71BA3" w:rsidRDefault="00C71BA3" w:rsidP="00AB5E1D">
      <w:pPr>
        <w:pStyle w:val="Para1"/>
      </w:pPr>
      <w:r>
        <w:t>The Applicant relies on grounds that essentially seek to refute the Council’s grounds of refusal.  A number of third parties have lodged statements of grounds, and in addition to the Council’s grounds, they raise concerns relating to the impact on an adjacent reserve.</w:t>
      </w:r>
    </w:p>
    <w:p w14:paraId="3C5C0206" w14:textId="77777777" w:rsidR="00AB5E1D" w:rsidRDefault="00AB5E1D" w:rsidP="00AB5E1D">
      <w:pPr>
        <w:pStyle w:val="Para1"/>
      </w:pPr>
      <w:r>
        <w:t>The issues or questions for determination are:</w:t>
      </w:r>
    </w:p>
    <w:p w14:paraId="30C674A0" w14:textId="77777777" w:rsidR="00AB5E1D" w:rsidRDefault="00C71BA3" w:rsidP="00AB5E1D">
      <w:pPr>
        <w:pStyle w:val="Para1"/>
        <w:numPr>
          <w:ilvl w:val="1"/>
          <w:numId w:val="2"/>
        </w:numPr>
      </w:pPr>
      <w:r>
        <w:t>Is the proposal an appropriate response to the surrounding neighbourhood character?</w:t>
      </w:r>
    </w:p>
    <w:p w14:paraId="4874ECCD" w14:textId="77777777" w:rsidR="00C71BA3" w:rsidRDefault="00C71BA3" w:rsidP="00AB5E1D">
      <w:pPr>
        <w:pStyle w:val="Para1"/>
        <w:numPr>
          <w:ilvl w:val="1"/>
          <w:numId w:val="2"/>
        </w:numPr>
      </w:pPr>
      <w:r>
        <w:t>Is the proposed tree removal appropriate?</w:t>
      </w:r>
    </w:p>
    <w:p w14:paraId="48AD43AC" w14:textId="77777777" w:rsidR="00C71BA3" w:rsidRDefault="00C71BA3" w:rsidP="00AB5E1D">
      <w:pPr>
        <w:pStyle w:val="Para1"/>
        <w:numPr>
          <w:ilvl w:val="1"/>
          <w:numId w:val="2"/>
        </w:numPr>
      </w:pPr>
      <w:r>
        <w:t>Will there be any unreasonable off-site amenity impacts?</w:t>
      </w:r>
    </w:p>
    <w:p w14:paraId="3A09F719" w14:textId="77777777" w:rsidR="00C71BA3" w:rsidRDefault="00C71BA3" w:rsidP="00AB5E1D">
      <w:pPr>
        <w:pStyle w:val="Para1"/>
        <w:numPr>
          <w:ilvl w:val="1"/>
          <w:numId w:val="2"/>
        </w:numPr>
      </w:pPr>
      <w:r>
        <w:t>Does the proposal appropriately provide for car parking and traffic movements?</w:t>
      </w:r>
    </w:p>
    <w:p w14:paraId="2B595D37" w14:textId="77777777" w:rsidR="00AB5E1D" w:rsidRDefault="00AB5E1D" w:rsidP="00AB5E1D">
      <w:pPr>
        <w:pStyle w:val="Para1"/>
      </w:pPr>
      <w:r>
        <w:t xml:space="preserve">The Tribunal must decide </w:t>
      </w:r>
      <w:r w:rsidRPr="00C71BA3">
        <w:t>whether a permit should be granted and, if so, what conditions should be applied.  Having considered all submissions and evidence presented with regard</w:t>
      </w:r>
      <w:r w:rsidRPr="005F57E3">
        <w:t xml:space="preserve"> to the applicable policies and provisions</w:t>
      </w:r>
      <w:r>
        <w:t xml:space="preserve"> of the </w:t>
      </w:r>
      <w:r w:rsidR="00C71BA3">
        <w:t>Whitehorse</w:t>
      </w:r>
      <w:r>
        <w:t xml:space="preserve"> Planning </w:t>
      </w:r>
      <w:r w:rsidRPr="00BC72AF">
        <w:t xml:space="preserve">Scheme, I have decided to </w:t>
      </w:r>
      <w:r w:rsidR="00BC72AF" w:rsidRPr="00BC72AF">
        <w:t>affirm the Council’s decision, and direct that no planning permit be granted.</w:t>
      </w:r>
      <w:r w:rsidRPr="00BC72AF">
        <w:t xml:space="preserve">  My reasons</w:t>
      </w:r>
      <w:r>
        <w:t xml:space="preserve"> follow.</w:t>
      </w:r>
    </w:p>
    <w:p w14:paraId="1E59C65F" w14:textId="77777777" w:rsidR="00E200CF" w:rsidRDefault="00C71BA3" w:rsidP="00E200CF">
      <w:pPr>
        <w:pStyle w:val="Heading2"/>
      </w:pPr>
      <w:r>
        <w:t>Is the proposal an appropriate response to the surrounding neighbourhood character?</w:t>
      </w:r>
    </w:p>
    <w:p w14:paraId="751BF79C" w14:textId="77777777" w:rsidR="006E6B11" w:rsidRDefault="006E6B11" w:rsidP="00E200CF">
      <w:pPr>
        <w:pStyle w:val="Para1"/>
      </w:pPr>
      <w:r>
        <w:t xml:space="preserve">The application proposes a level of residential development that comprises </w:t>
      </w:r>
      <w:r w:rsidR="00D0168C">
        <w:t>a</w:t>
      </w:r>
      <w:r>
        <w:t xml:space="preserve"> </w:t>
      </w:r>
      <w:r w:rsidR="00D243EA">
        <w:t xml:space="preserve">two-lot </w:t>
      </w:r>
      <w:r>
        <w:t>subdivision of a parcel of land, to create a lot of 815 square metres that contains an existing dwelling</w:t>
      </w:r>
      <w:r w:rsidR="00D243EA">
        <w:t xml:space="preserve"> (lot 1)</w:t>
      </w:r>
      <w:r>
        <w:t>, and a vacant allotment of 662 square metres</w:t>
      </w:r>
      <w:r w:rsidR="00D243EA">
        <w:t xml:space="preserve"> (lot 2)</w:t>
      </w:r>
      <w:r>
        <w:t xml:space="preserve">.  Each lot is currently serviced by a crossover and driveway.  The application also proposes the removal of vegetation from </w:t>
      </w:r>
      <w:r w:rsidR="00D243EA">
        <w:t>lot 2</w:t>
      </w:r>
      <w:r>
        <w:t xml:space="preserve">, in order to enable a dwelling to be constructed on that lot.  A building envelope </w:t>
      </w:r>
      <w:r w:rsidR="00D243EA">
        <w:t>of 168 square metres in size is proposed to guide the fut</w:t>
      </w:r>
      <w:bookmarkStart w:id="22" w:name="_GoBack"/>
      <w:bookmarkEnd w:id="22"/>
      <w:r w:rsidR="00D243EA">
        <w:t>ure siting of a dwelling on lot 2, into a location that achieves a 9.0 metre setback to the front boundary, and setbacks to existing trees in an adjacent reserve.</w:t>
      </w:r>
    </w:p>
    <w:p w14:paraId="4CF7185A" w14:textId="77777777" w:rsidR="00C71BA3" w:rsidRDefault="00AA7EAD" w:rsidP="00E200CF">
      <w:pPr>
        <w:pStyle w:val="Para1"/>
      </w:pPr>
      <w:r>
        <w:rPr>
          <w:noProof/>
        </w:rPr>
        <w:lastRenderedPageBreak/>
        <w:drawing>
          <wp:anchor distT="0" distB="0" distL="114300" distR="114300" simplePos="0" relativeHeight="251662336" behindDoc="1" locked="0" layoutInCell="1" allowOverlap="1" wp14:anchorId="5F192CE2" wp14:editId="63DBCEFD">
            <wp:simplePos x="0" y="0"/>
            <wp:positionH relativeFrom="column">
              <wp:posOffset>5183505</wp:posOffset>
            </wp:positionH>
            <wp:positionV relativeFrom="paragraph">
              <wp:posOffset>8459470</wp:posOffset>
            </wp:positionV>
            <wp:extent cx="1080000" cy="1080000"/>
            <wp:effectExtent l="0" t="0" r="6350" b="6350"/>
            <wp:wrapNone/>
            <wp:docPr id="5" name="VCAT Seal5"/>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8">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00E3644F">
        <w:t xml:space="preserve">The guidance from the Whitehorse Planning Scheme for residential development in this locality falls within two key </w:t>
      </w:r>
      <w:r w:rsidR="001A6E1F">
        <w:t>policy themes</w:t>
      </w:r>
      <w:r w:rsidR="00E3644F">
        <w:t xml:space="preserve">, which are interrelated.  The first of those </w:t>
      </w:r>
      <w:r w:rsidR="001A6E1F">
        <w:t>themes</w:t>
      </w:r>
      <w:r w:rsidR="00E3644F">
        <w:t xml:space="preserve"> is housing growth.  The </w:t>
      </w:r>
      <w:r w:rsidR="001A6E1F">
        <w:t>approach to identifying areas of housing growth within the municipality is explored at Clause 21.06-1 of the Whitehorse Planning Scheme, and set out in part below.</w:t>
      </w:r>
    </w:p>
    <w:p w14:paraId="3E6E1820" w14:textId="77777777" w:rsidR="001A6E1F" w:rsidRDefault="001A6E1F" w:rsidP="001A6E1F">
      <w:pPr>
        <w:pStyle w:val="Quote1"/>
      </w:pPr>
      <w:r>
        <w:t xml:space="preserve">The City of Whitehorse is under increased pressure to accommodate more people who are attracted to the area due to its strategic location, high amenity residential areas and quality services and facilities. The community is concerned about maintaining the high quality residential environment and ensuring that areas of environmental, heritage or special character are protected as the City’s population grows. The municipality’s leafy character is particularly valued, strengthened by the presence of quality canopy trees and other native and exotic vegetation. Trees and vegetation are considered one of the most significant determinants of neighbourhood character in the municipality, and therefore tree preservation and regeneration is of vital importance if the character of residential areas is to be maintained and enhanced. </w:t>
      </w:r>
    </w:p>
    <w:p w14:paraId="20A05EE4" w14:textId="77777777" w:rsidR="001A6E1F" w:rsidRDefault="001A6E1F" w:rsidP="001A6E1F">
      <w:pPr>
        <w:pStyle w:val="Quote1"/>
      </w:pPr>
      <w:r>
        <w:t xml:space="preserve">Change and growth in urban areas with good public transport access can occur while contributing to the City’s valued neighbourhood character. Areas such as the Box Hill metropolitan activity centre are able to accommodate increased housing growth in an urban setting while providing high levels of amenity for residents. </w:t>
      </w:r>
    </w:p>
    <w:p w14:paraId="43650D72" w14:textId="77777777" w:rsidR="001A6E1F" w:rsidRDefault="001A6E1F" w:rsidP="001A6E1F">
      <w:pPr>
        <w:pStyle w:val="Quote1"/>
      </w:pPr>
      <w:r>
        <w:t xml:space="preserve">The Council’s Housing Strategy 2014 identifies areas of substantial, natural and limited growth. These categories of housing change are aligned with the neighbourhood character statements prepared for each area as part of the Neighbourhood Character Study 2014 and the planning controls applying to the land. These statements and controls aim to direct housing growth across the municipality in a way which reflects the community’s neighbourhood character aspirations, while balancing the future housing needs of Whitehorse. They are described as follows: </w:t>
      </w:r>
    </w:p>
    <w:p w14:paraId="16C1A63C" w14:textId="77777777" w:rsidR="001A6E1F" w:rsidRDefault="001A6E1F" w:rsidP="001A6E1F">
      <w:pPr>
        <w:pStyle w:val="Quote3"/>
      </w:pPr>
      <w:r>
        <w:t xml:space="preserve">Substantial Change areas provide for housing growth with increased densities, including inside designated structure plan boundaries and opportunity areas, in accordance with the relevant plans as well as around most train stations, adjoining tram routes and around larger activity centres. </w:t>
      </w:r>
    </w:p>
    <w:p w14:paraId="1E12FAC8" w14:textId="77777777" w:rsidR="001A6E1F" w:rsidRDefault="001A6E1F" w:rsidP="001A6E1F">
      <w:pPr>
        <w:pStyle w:val="Quote3"/>
      </w:pPr>
      <w:r>
        <w:t xml:space="preserve">Natural Change areas allow for modest housing growth and a variety of housing types provided they achieve the preferred future neighbourhood character as identified in Clause 22.03 – Residential Development. </w:t>
      </w:r>
    </w:p>
    <w:p w14:paraId="592B79DC" w14:textId="77777777" w:rsidR="001A6E1F" w:rsidRDefault="001A6E1F" w:rsidP="001A6E1F">
      <w:pPr>
        <w:pStyle w:val="Quote3"/>
      </w:pPr>
      <w:r>
        <w:t>Limited Change areas enable specific characteristics of the neighbourhood, environment or landscape to be protected through greater control over new housing development. These areas represent the lowest degree of intended residential growth in Whitehorse.</w:t>
      </w:r>
    </w:p>
    <w:p w14:paraId="73EED764" w14:textId="77777777" w:rsidR="00C71BA3" w:rsidRDefault="00AA7EAD" w:rsidP="00E200CF">
      <w:pPr>
        <w:pStyle w:val="Para1"/>
      </w:pPr>
      <w:r>
        <w:rPr>
          <w:noProof/>
        </w:rPr>
        <w:lastRenderedPageBreak/>
        <w:drawing>
          <wp:anchor distT="0" distB="0" distL="114300" distR="114300" simplePos="0" relativeHeight="251663360" behindDoc="1" locked="0" layoutInCell="1" allowOverlap="1" wp14:anchorId="02A0A78A" wp14:editId="684814A0">
            <wp:simplePos x="0" y="0"/>
            <wp:positionH relativeFrom="column">
              <wp:posOffset>5183505</wp:posOffset>
            </wp:positionH>
            <wp:positionV relativeFrom="paragraph">
              <wp:posOffset>8459470</wp:posOffset>
            </wp:positionV>
            <wp:extent cx="1080000" cy="1080000"/>
            <wp:effectExtent l="0" t="0" r="6350" b="6350"/>
            <wp:wrapNone/>
            <wp:docPr id="6" name="VCAT Seal6"/>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8">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001A6E1F">
        <w:t>The review site is identified for limited change, and as such is subject to the following additional policy guidance.</w:t>
      </w:r>
    </w:p>
    <w:p w14:paraId="2CCA1BCE" w14:textId="77777777" w:rsidR="001A6E1F" w:rsidRDefault="001A6E1F" w:rsidP="001A6E1F">
      <w:pPr>
        <w:pStyle w:val="Quote3"/>
      </w:pPr>
      <w:r>
        <w:t xml:space="preserve">Conserve and enhance those elements which contribute to the valued environmental, heritage and neighbourhood character of the place. </w:t>
      </w:r>
    </w:p>
    <w:p w14:paraId="609966B4" w14:textId="77777777" w:rsidR="001A6E1F" w:rsidRDefault="001A6E1F" w:rsidP="001A6E1F">
      <w:pPr>
        <w:pStyle w:val="Quote3"/>
      </w:pPr>
      <w:r>
        <w:t xml:space="preserve">Ensure new development protects and reinforces the environmental, heritage values and / or preferred future neighbourhood character of the area. </w:t>
      </w:r>
    </w:p>
    <w:p w14:paraId="7806026B" w14:textId="77777777" w:rsidR="001A6E1F" w:rsidRDefault="001A6E1F" w:rsidP="001A6E1F">
      <w:pPr>
        <w:pStyle w:val="Quote3"/>
      </w:pPr>
      <w:r>
        <w:t>Ensure new development mainly takes the form of renovations to existing houses, replacement of single dwellings with new dwellings and some limited medium density development.</w:t>
      </w:r>
      <w:r>
        <w:rPr>
          <w:rStyle w:val="FootnoteReference"/>
        </w:rPr>
        <w:footnoteReference w:id="2"/>
      </w:r>
    </w:p>
    <w:p w14:paraId="1997CCD1" w14:textId="77777777" w:rsidR="001A6E1F" w:rsidRDefault="001A6E1F" w:rsidP="001A6E1F">
      <w:pPr>
        <w:pStyle w:val="Quote3"/>
      </w:pPr>
      <w:r>
        <w:t xml:space="preserve">Maintaining the preferred neighbourhood character of Limited Change Areas. </w:t>
      </w:r>
    </w:p>
    <w:p w14:paraId="6F9930D6" w14:textId="77777777" w:rsidR="001A6E1F" w:rsidRDefault="001A6E1F" w:rsidP="001A6E1F">
      <w:pPr>
        <w:pStyle w:val="Quote3"/>
      </w:pPr>
      <w:r>
        <w:t>Providing adequate space for substantial vegetation in Limited and Natural Change Areas.</w:t>
      </w:r>
      <w:r>
        <w:rPr>
          <w:rStyle w:val="FootnoteReference"/>
        </w:rPr>
        <w:footnoteReference w:id="3"/>
      </w:r>
    </w:p>
    <w:p w14:paraId="62F36372" w14:textId="77777777" w:rsidR="006E6B11" w:rsidRPr="006E6B11" w:rsidRDefault="00610FEB" w:rsidP="00610FEB">
      <w:pPr>
        <w:pStyle w:val="Quote1"/>
        <w:rPr>
          <w:b/>
        </w:rPr>
      </w:pPr>
      <w:r w:rsidRPr="006E6B11">
        <w:rPr>
          <w:b/>
        </w:rPr>
        <w:t xml:space="preserve">Strategies for Limited Change Areas </w:t>
      </w:r>
    </w:p>
    <w:p w14:paraId="2E3B0739" w14:textId="77777777" w:rsidR="006E6B11" w:rsidRDefault="00610FEB" w:rsidP="00610FEB">
      <w:pPr>
        <w:pStyle w:val="Quote1"/>
      </w:pPr>
      <w:r>
        <w:t xml:space="preserve">Ensure residential development is of a scale, form and character that is consistent with the surrounding area, and will predominantly comprise: </w:t>
      </w:r>
    </w:p>
    <w:p w14:paraId="2990E462" w14:textId="77777777" w:rsidR="006E6B11" w:rsidRDefault="00610FEB" w:rsidP="006E6B11">
      <w:pPr>
        <w:pStyle w:val="Quote3"/>
      </w:pPr>
      <w:r>
        <w:t xml:space="preserve">Detached dwellings </w:t>
      </w:r>
    </w:p>
    <w:p w14:paraId="369652CD" w14:textId="77777777" w:rsidR="006E6B11" w:rsidRDefault="00610FEB" w:rsidP="006E6B11">
      <w:pPr>
        <w:pStyle w:val="Quote3"/>
      </w:pPr>
      <w:r>
        <w:t xml:space="preserve">Semi-detached dwellings </w:t>
      </w:r>
    </w:p>
    <w:p w14:paraId="3FF35C16" w14:textId="77777777" w:rsidR="006E6B11" w:rsidRDefault="00610FEB" w:rsidP="006E6B11">
      <w:pPr>
        <w:pStyle w:val="Quote1"/>
      </w:pPr>
      <w:r>
        <w:t xml:space="preserve">Provide some diversity of dwelling sizes and tenures, including affordable housing, where feasible. </w:t>
      </w:r>
    </w:p>
    <w:p w14:paraId="76209B1F" w14:textId="77777777" w:rsidR="006E6B11" w:rsidRDefault="00610FEB" w:rsidP="006E6B11">
      <w:pPr>
        <w:pStyle w:val="Quote1"/>
      </w:pPr>
      <w:r>
        <w:t xml:space="preserve">Ensure the scale and appearance of new housing respects the appearance of surrounding development and the environmental, heritage and neighbourhood character values of the area. </w:t>
      </w:r>
    </w:p>
    <w:p w14:paraId="5BEBDA03" w14:textId="77777777" w:rsidR="00610FEB" w:rsidRDefault="00610FEB" w:rsidP="006E6B11">
      <w:pPr>
        <w:pStyle w:val="Quote1"/>
      </w:pPr>
      <w:r>
        <w:t>Encourage the retention of older dwellings in areas where these buildings dominate, and limit new development to two dwellings per lot.</w:t>
      </w:r>
      <w:r>
        <w:rPr>
          <w:rStyle w:val="FootnoteReference"/>
        </w:rPr>
        <w:footnoteReference w:id="4"/>
      </w:r>
    </w:p>
    <w:p w14:paraId="021798B5" w14:textId="77777777" w:rsidR="00C71BA3" w:rsidRDefault="001A6E1F" w:rsidP="00E200CF">
      <w:pPr>
        <w:pStyle w:val="Para1"/>
      </w:pPr>
      <w:r>
        <w:t>It is evident from this policy framework that only limited residential growth is encouraged, and that any proposal for housing growth should achieve the preferred neighbourhood character, the environmental values of the area, and adequate space for substantial vegetation.</w:t>
      </w:r>
    </w:p>
    <w:p w14:paraId="5E4A15A5" w14:textId="77777777" w:rsidR="00C71BA3" w:rsidRDefault="001A6E1F" w:rsidP="00E200CF">
      <w:pPr>
        <w:pStyle w:val="Para1"/>
      </w:pPr>
      <w:r>
        <w:t>This leads to the second policy theme, which is the character outcomes to be achieved.  In the case of the review site, those character outcomes are guided by the preferred character statement for this precinct, and the Significant Landscape Overlay that applies to this neighbourhood.  The preferred character statement is found at Clause 22.03-5 of the Whitehorse Planning Scheme, and is set out below.</w:t>
      </w:r>
    </w:p>
    <w:p w14:paraId="5B2D3621" w14:textId="77777777" w:rsidR="006E6B11" w:rsidRPr="006E6B11" w:rsidRDefault="00AA7EAD" w:rsidP="006E6B11">
      <w:pPr>
        <w:pStyle w:val="Quote1"/>
        <w:rPr>
          <w:b/>
          <w:bCs/>
        </w:rPr>
      </w:pPr>
      <w:r>
        <w:rPr>
          <w:b/>
          <w:bCs/>
          <w:noProof/>
        </w:rPr>
        <w:lastRenderedPageBreak/>
        <w:drawing>
          <wp:anchor distT="0" distB="0" distL="114300" distR="114300" simplePos="0" relativeHeight="251664384" behindDoc="1" locked="0" layoutInCell="1" allowOverlap="1" wp14:anchorId="304C2082" wp14:editId="7387F8A9">
            <wp:simplePos x="0" y="0"/>
            <wp:positionH relativeFrom="column">
              <wp:posOffset>5183505</wp:posOffset>
            </wp:positionH>
            <wp:positionV relativeFrom="paragraph">
              <wp:posOffset>8459470</wp:posOffset>
            </wp:positionV>
            <wp:extent cx="1080000" cy="1080000"/>
            <wp:effectExtent l="0" t="0" r="6350" b="6350"/>
            <wp:wrapNone/>
            <wp:docPr id="7" name="VCAT Seal7"/>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8">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006E6B11" w:rsidRPr="006E6B11">
        <w:rPr>
          <w:b/>
          <w:bCs/>
        </w:rPr>
        <w:t xml:space="preserve">Bush Environment </w:t>
      </w:r>
    </w:p>
    <w:p w14:paraId="70828300" w14:textId="77777777" w:rsidR="006E6B11" w:rsidRDefault="006E6B11" w:rsidP="006E6B11">
      <w:pPr>
        <w:pStyle w:val="Quote1"/>
      </w:pPr>
      <w:r>
        <w:t xml:space="preserve">The streetscapes will be dominated by vegetation with subservient buildings frequently hidden from view behind vegetation and tall trees. The buildings will nestle into the topography of the landscape and be surrounded by bush-like native and indigenous gardens, including large indigenous trees in the private and public domains. </w:t>
      </w:r>
    </w:p>
    <w:p w14:paraId="59E8903C" w14:textId="77777777" w:rsidR="006E6B11" w:rsidRDefault="006E6B11" w:rsidP="006E6B11">
      <w:pPr>
        <w:pStyle w:val="Quote1"/>
      </w:pPr>
      <w:r>
        <w:t xml:space="preserve">Buildings and hard surfaces will occupy a very low proportion of the site. They will be sited to reflect the prevailing front, rear and side setbacks. The larger rear setbacks will accommodate substantial vegetation including large canopy trees. The bushy environs are complemented by street trees and a lack of front fencing. Properties abutting and close to creeks and lake environs will contain more indigenous trees and shrubs that act in part as wildlife corridors. </w:t>
      </w:r>
    </w:p>
    <w:p w14:paraId="49F223BD" w14:textId="77777777" w:rsidR="001A6E1F" w:rsidRDefault="006E6B11" w:rsidP="006E6B11">
      <w:pPr>
        <w:pStyle w:val="Quote1"/>
      </w:pPr>
      <w:r>
        <w:t>This precinct is identified for the lowest scale of intended residential growth in Whitehorse (Limited Change area) and the preservation of its significant landscape character and environmental integrity is the highest priority.</w:t>
      </w:r>
    </w:p>
    <w:p w14:paraId="6951F09C" w14:textId="77777777" w:rsidR="001A6E1F" w:rsidRDefault="006E6B11" w:rsidP="00E200CF">
      <w:pPr>
        <w:pStyle w:val="Para1"/>
      </w:pPr>
      <w:r>
        <w:t xml:space="preserve">In accordance with policy at Clause 22.03-3 of the Whitehorse Planning Scheme, this preferred character statement is to be applied alongside </w:t>
      </w:r>
      <w:r w:rsidR="00D0168C">
        <w:t xml:space="preserve">the </w:t>
      </w:r>
      <w:r>
        <w:t xml:space="preserve">Precinct Guidelines, which are </w:t>
      </w:r>
      <w:r w:rsidR="00D0168C">
        <w:t xml:space="preserve">lengthy, </w:t>
      </w:r>
      <w:r>
        <w:t>and will be referred to within my assessment below.</w:t>
      </w:r>
    </w:p>
    <w:p w14:paraId="0788808B" w14:textId="77777777" w:rsidR="006E6B11" w:rsidRDefault="006E6B11" w:rsidP="00E200CF">
      <w:pPr>
        <w:pStyle w:val="Para1"/>
      </w:pPr>
      <w:r>
        <w:t>In addition to this guidance, the land is covered by Schedule 2 to the Significant Landscape Overlay (SLO2).  This Schedule includes the following guidance:</w:t>
      </w:r>
    </w:p>
    <w:p w14:paraId="1AB80F3E" w14:textId="77777777" w:rsidR="006E6B11" w:rsidRPr="006E6B11" w:rsidRDefault="006E6B11" w:rsidP="006E6B11">
      <w:pPr>
        <w:pStyle w:val="Quote1"/>
        <w:rPr>
          <w:b/>
          <w:bCs/>
        </w:rPr>
      </w:pPr>
      <w:r w:rsidRPr="006E6B11">
        <w:rPr>
          <w:b/>
          <w:bCs/>
        </w:rPr>
        <w:t xml:space="preserve">Landscape character objective to be achieved </w:t>
      </w:r>
    </w:p>
    <w:p w14:paraId="222D8096" w14:textId="77777777" w:rsidR="006E6B11" w:rsidRDefault="006E6B11" w:rsidP="006E6B11">
      <w:pPr>
        <w:pStyle w:val="Quote3"/>
      </w:pPr>
      <w:r>
        <w:t xml:space="preserve">To retain the dominance of vegetation cover in keeping with the bush character environment. </w:t>
      </w:r>
    </w:p>
    <w:p w14:paraId="46AAC3C6" w14:textId="77777777" w:rsidR="006E6B11" w:rsidRDefault="006E6B11" w:rsidP="006E6B11">
      <w:pPr>
        <w:pStyle w:val="Quote3"/>
      </w:pPr>
      <w:r>
        <w:t xml:space="preserve">To encourage the retention and regeneration of native vegetation for the protection of wildlife habitat. </w:t>
      </w:r>
    </w:p>
    <w:p w14:paraId="20254F22" w14:textId="77777777" w:rsidR="006E6B11" w:rsidRDefault="006E6B11" w:rsidP="006E6B11">
      <w:pPr>
        <w:pStyle w:val="Quote3"/>
      </w:pPr>
      <w:r>
        <w:t xml:space="preserve">To ensure that a reasonable proportion of a lot is free of buildings to provide for the planting of tall trees in a natural garden setting. </w:t>
      </w:r>
    </w:p>
    <w:p w14:paraId="52599AC6" w14:textId="77777777" w:rsidR="006E6B11" w:rsidRDefault="006E6B11" w:rsidP="006E6B11">
      <w:pPr>
        <w:pStyle w:val="Quote3"/>
      </w:pPr>
      <w:r>
        <w:t xml:space="preserve">To encourage the development of sympathetic buildings within an envelope, which ensures the maintenance of a tree-dominated landscape. </w:t>
      </w:r>
    </w:p>
    <w:p w14:paraId="52938C73" w14:textId="77777777" w:rsidR="006E6B11" w:rsidRDefault="006E6B11" w:rsidP="006E6B11">
      <w:pPr>
        <w:pStyle w:val="Quote3"/>
      </w:pPr>
      <w:r>
        <w:t xml:space="preserve">To ensure that buildings and works retain an inconspicuous profile and do not dominate the landscape. </w:t>
      </w:r>
    </w:p>
    <w:p w14:paraId="017FEE8C" w14:textId="77777777" w:rsidR="006E6B11" w:rsidRDefault="006E6B11" w:rsidP="006E6B11">
      <w:pPr>
        <w:pStyle w:val="Quote3"/>
      </w:pPr>
      <w:r>
        <w:t>To ensure that development is compatible with the character of the area.</w:t>
      </w:r>
    </w:p>
    <w:p w14:paraId="23EF3160" w14:textId="77777777" w:rsidR="006E6B11" w:rsidRPr="006E6B11" w:rsidRDefault="006E6B11" w:rsidP="006E6B11">
      <w:pPr>
        <w:pStyle w:val="Quote1"/>
        <w:rPr>
          <w:b/>
          <w:bCs/>
        </w:rPr>
      </w:pPr>
      <w:r w:rsidRPr="006E6B11">
        <w:rPr>
          <w:b/>
          <w:bCs/>
        </w:rPr>
        <w:t xml:space="preserve">Decision guidelines </w:t>
      </w:r>
    </w:p>
    <w:p w14:paraId="2A45F26A" w14:textId="77777777" w:rsidR="006E6B11" w:rsidRDefault="006E6B11" w:rsidP="006E6B11">
      <w:pPr>
        <w:pStyle w:val="Quote1"/>
      </w:pPr>
      <w:r>
        <w:t xml:space="preserve">Before deciding on an application, the responsible authority must consider, as appropriate: </w:t>
      </w:r>
    </w:p>
    <w:p w14:paraId="587196DF" w14:textId="77777777" w:rsidR="006E6B11" w:rsidRDefault="00AA7EAD" w:rsidP="006E6B11">
      <w:pPr>
        <w:pStyle w:val="Quote3"/>
      </w:pPr>
      <w:r>
        <w:rPr>
          <w:noProof/>
        </w:rPr>
        <w:lastRenderedPageBreak/>
        <w:drawing>
          <wp:anchor distT="0" distB="0" distL="114300" distR="114300" simplePos="0" relativeHeight="251665408" behindDoc="1" locked="0" layoutInCell="1" allowOverlap="1" wp14:anchorId="425B58A4" wp14:editId="45645F20">
            <wp:simplePos x="0" y="0"/>
            <wp:positionH relativeFrom="column">
              <wp:posOffset>5183505</wp:posOffset>
            </wp:positionH>
            <wp:positionV relativeFrom="paragraph">
              <wp:posOffset>8459470</wp:posOffset>
            </wp:positionV>
            <wp:extent cx="1080000" cy="1080000"/>
            <wp:effectExtent l="0" t="0" r="6350" b="6350"/>
            <wp:wrapNone/>
            <wp:docPr id="8" name="VCAT Seal8"/>
            <wp:cNvGraphicFramePr/>
            <a:graphic xmlns:a="http://schemas.openxmlformats.org/drawingml/2006/main">
              <a:graphicData uri="http://schemas.openxmlformats.org/drawingml/2006/picture">
                <pic:pic xmlns:pic="http://schemas.openxmlformats.org/drawingml/2006/picture">
                  <pic:nvPicPr>
                    <pic:cNvPr id="8" name=""/>
                    <pic:cNvPicPr/>
                  </pic:nvPicPr>
                  <pic:blipFill>
                    <a:blip r:embed="rId8">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006E6B11">
        <w:t xml:space="preserve">Whether the proposed building is set back a reasonable distance from the property boundaries to provide for landscaping. </w:t>
      </w:r>
    </w:p>
    <w:p w14:paraId="18B5E0B6" w14:textId="77777777" w:rsidR="006E6B11" w:rsidRDefault="006E6B11" w:rsidP="006E6B11">
      <w:pPr>
        <w:pStyle w:val="Quote3"/>
      </w:pPr>
      <w:r>
        <w:t xml:space="preserve">Whether the proposed building or works retain an inconspicuous profile and do not dominate the landscape. </w:t>
      </w:r>
    </w:p>
    <w:p w14:paraId="147A734C" w14:textId="77777777" w:rsidR="006E6B11" w:rsidRDefault="006E6B11" w:rsidP="006E6B11">
      <w:pPr>
        <w:pStyle w:val="Quote3"/>
      </w:pPr>
      <w:r>
        <w:t xml:space="preserve">Whether a reasonable proportion of the lot is free of buildings and available for tree planting, landscaping and open space use. </w:t>
      </w:r>
    </w:p>
    <w:p w14:paraId="38A5E188" w14:textId="77777777" w:rsidR="006E6B11" w:rsidRDefault="006E6B11" w:rsidP="006E6B11">
      <w:pPr>
        <w:pStyle w:val="Quote3"/>
      </w:pPr>
      <w:r>
        <w:t xml:space="preserve">The impact of the proposed development on the conservation of trees. </w:t>
      </w:r>
    </w:p>
    <w:p w14:paraId="4EC9FDB7" w14:textId="77777777" w:rsidR="006E6B11" w:rsidRDefault="006E6B11" w:rsidP="006E6B11">
      <w:pPr>
        <w:pStyle w:val="Quote3"/>
      </w:pPr>
      <w:r>
        <w:t xml:space="preserve">The impact of the proposed development on natural ground levels and drainage patterns which may have a detrimental impact on the health and viability of surrounding trees. </w:t>
      </w:r>
    </w:p>
    <w:p w14:paraId="3617311E" w14:textId="77777777" w:rsidR="006E6B11" w:rsidRDefault="006E6B11" w:rsidP="006E6B11">
      <w:pPr>
        <w:pStyle w:val="Quote3"/>
      </w:pPr>
      <w:r>
        <w:t xml:space="preserve">The maintenance of an adequate buffer strip along watercourses, roads, rail lines and other property boundaries. </w:t>
      </w:r>
    </w:p>
    <w:p w14:paraId="32C42B5C" w14:textId="77777777" w:rsidR="006E6B11" w:rsidRDefault="006E6B11" w:rsidP="006E6B11">
      <w:pPr>
        <w:pStyle w:val="Quote3"/>
      </w:pPr>
      <w:r>
        <w:t xml:space="preserve">The species of vegetation, its age, health and growth characteristics. </w:t>
      </w:r>
    </w:p>
    <w:p w14:paraId="2AC02BA2" w14:textId="77777777" w:rsidR="006E6B11" w:rsidRDefault="006E6B11" w:rsidP="006E6B11">
      <w:pPr>
        <w:pStyle w:val="Quote3"/>
      </w:pPr>
      <w:r>
        <w:t xml:space="preserve">The location of the vegetation on the land and its contribution to the lot garden area, neighbourhood and streetscape character. </w:t>
      </w:r>
    </w:p>
    <w:p w14:paraId="2956BD12" w14:textId="77777777" w:rsidR="006E6B11" w:rsidRDefault="006E6B11" w:rsidP="006E6B11">
      <w:pPr>
        <w:pStyle w:val="Quote3"/>
      </w:pPr>
      <w:r>
        <w:t xml:space="preserve">Whether the tree is isolated or part of a grouping. </w:t>
      </w:r>
    </w:p>
    <w:p w14:paraId="7FA01F7F" w14:textId="77777777" w:rsidR="006E6B11" w:rsidRDefault="006E6B11" w:rsidP="006E6B11">
      <w:pPr>
        <w:pStyle w:val="Quote3"/>
      </w:pPr>
      <w:r>
        <w:t xml:space="preserve">The potential to achieve an average density of one tree reaching a height of over 15 metres to each 150 square metres of site area. </w:t>
      </w:r>
    </w:p>
    <w:p w14:paraId="3CE541AC" w14:textId="77777777" w:rsidR="006E6B11" w:rsidRDefault="006E6B11" w:rsidP="006E6B11">
      <w:pPr>
        <w:pStyle w:val="Quote3"/>
      </w:pPr>
      <w:r>
        <w:t>The availability of sufficient unencumbered land to provide for replacement planting.</w:t>
      </w:r>
    </w:p>
    <w:p w14:paraId="42154B1C" w14:textId="77777777" w:rsidR="001A6E1F" w:rsidRDefault="006E6B11" w:rsidP="00E200CF">
      <w:pPr>
        <w:pStyle w:val="Para1"/>
      </w:pPr>
      <w:r>
        <w:t xml:space="preserve">It is the evidence of Mr Pagliaro that the proposed subdivision </w:t>
      </w:r>
      <w:r w:rsidR="00D243EA">
        <w:t>achieves outcomes consistent with the guidance from the Whitehorse Planning Scheme.  In support of this opinion, he says:</w:t>
      </w:r>
    </w:p>
    <w:p w14:paraId="45EF5307" w14:textId="77777777" w:rsidR="00D243EA" w:rsidRDefault="00D243EA" w:rsidP="00D243EA">
      <w:pPr>
        <w:pStyle w:val="Para1"/>
        <w:numPr>
          <w:ilvl w:val="1"/>
          <w:numId w:val="2"/>
        </w:numPr>
      </w:pPr>
      <w:r>
        <w:t>The proposal to subdivide a lot with an area of 1477 square metres into two allotments constitute</w:t>
      </w:r>
      <w:r w:rsidR="00D0168C">
        <w:t>s</w:t>
      </w:r>
      <w:r>
        <w:t xml:space="preserve"> limited housing growth, and the review site is well located to a range of services and facilities to support this level of housing growth.</w:t>
      </w:r>
    </w:p>
    <w:p w14:paraId="095115ED" w14:textId="77777777" w:rsidR="00D243EA" w:rsidRDefault="00D243EA" w:rsidP="00D243EA">
      <w:pPr>
        <w:pStyle w:val="Para1"/>
        <w:numPr>
          <w:ilvl w:val="1"/>
          <w:numId w:val="2"/>
        </w:numPr>
      </w:pPr>
      <w:r>
        <w:t xml:space="preserve">The proposed lot sizes of 815 and 662 square metres are consistent with the range of lot sizes already found in this neighbourhood, and </w:t>
      </w:r>
      <w:r w:rsidR="00D0168C">
        <w:t xml:space="preserve">are </w:t>
      </w:r>
      <w:r>
        <w:t>also consistent with the pattern of subdivisions that have occurred on similarly sized and shaped allotments nearby.</w:t>
      </w:r>
    </w:p>
    <w:p w14:paraId="06C2EB89" w14:textId="77777777" w:rsidR="00D243EA" w:rsidRDefault="00D243EA" w:rsidP="00D243EA">
      <w:pPr>
        <w:pStyle w:val="Para1"/>
        <w:numPr>
          <w:ilvl w:val="1"/>
          <w:numId w:val="2"/>
        </w:numPr>
      </w:pPr>
      <w:r>
        <w:t>The proposed building envelope for lot 2 will enable a dwelling to be constructed in a manner that achieves the desired character outcomes, and which will allow vegetation to dominate the presentation to Naughton Grove.</w:t>
      </w:r>
    </w:p>
    <w:p w14:paraId="7ED2905A" w14:textId="77777777" w:rsidR="00D243EA" w:rsidRDefault="00D243EA" w:rsidP="00D243EA">
      <w:pPr>
        <w:pStyle w:val="Para1"/>
        <w:numPr>
          <w:ilvl w:val="1"/>
          <w:numId w:val="2"/>
        </w:numPr>
      </w:pPr>
      <w:r>
        <w:t>The extent of setbacks proposed to the adjacent reserve is similar to that which occurs on other lots that abut the linear reserve, and a future dwelling will not have an unreasonable level of prominence on views from the reserve.</w:t>
      </w:r>
    </w:p>
    <w:p w14:paraId="6EF8C5A1" w14:textId="77777777" w:rsidR="00D243EA" w:rsidRDefault="00AA7EAD" w:rsidP="00D243EA">
      <w:pPr>
        <w:pStyle w:val="Para1"/>
        <w:numPr>
          <w:ilvl w:val="1"/>
          <w:numId w:val="2"/>
        </w:numPr>
      </w:pPr>
      <w:r>
        <w:rPr>
          <w:noProof/>
        </w:rPr>
        <w:lastRenderedPageBreak/>
        <w:drawing>
          <wp:anchor distT="0" distB="0" distL="114300" distR="114300" simplePos="0" relativeHeight="251666432" behindDoc="1" locked="0" layoutInCell="1" allowOverlap="1" wp14:anchorId="36A21668" wp14:editId="03426E13">
            <wp:simplePos x="0" y="0"/>
            <wp:positionH relativeFrom="column">
              <wp:posOffset>5183505</wp:posOffset>
            </wp:positionH>
            <wp:positionV relativeFrom="paragraph">
              <wp:posOffset>8459470</wp:posOffset>
            </wp:positionV>
            <wp:extent cx="1080000" cy="1080000"/>
            <wp:effectExtent l="0" t="0" r="6350" b="6350"/>
            <wp:wrapNone/>
            <wp:docPr id="9" name="VCAT Seal9"/>
            <wp:cNvGraphicFramePr/>
            <a:graphic xmlns:a="http://schemas.openxmlformats.org/drawingml/2006/main">
              <a:graphicData uri="http://schemas.openxmlformats.org/drawingml/2006/picture">
                <pic:pic xmlns:pic="http://schemas.openxmlformats.org/drawingml/2006/picture">
                  <pic:nvPicPr>
                    <pic:cNvPr id="9" name=""/>
                    <pic:cNvPicPr/>
                  </pic:nvPicPr>
                  <pic:blipFill>
                    <a:blip r:embed="rId8">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00D243EA">
        <w:t xml:space="preserve">The level of tree removal proposed is appropriate having regard to the aboricultural value attributed to the trees.  </w:t>
      </w:r>
      <w:r w:rsidR="00D931CC">
        <w:t>He opines that numerous trees are retained on site, and t</w:t>
      </w:r>
      <w:r w:rsidR="00D243EA">
        <w:t>here is the potential for significant tree planting on the review site.</w:t>
      </w:r>
    </w:p>
    <w:p w14:paraId="58C291EB" w14:textId="77777777" w:rsidR="001A6E1F" w:rsidRPr="00754025" w:rsidRDefault="00244279" w:rsidP="00E200CF">
      <w:pPr>
        <w:pStyle w:val="Para1"/>
      </w:pPr>
      <w:r w:rsidRPr="00754025">
        <w:t xml:space="preserve">This evidence is supported by the submissions of Mr Nickas.  </w:t>
      </w:r>
      <w:r w:rsidR="00C17036" w:rsidRPr="00754025">
        <w:t xml:space="preserve">Mr Nickas submits that </w:t>
      </w:r>
      <w:r w:rsidR="00BC72AF" w:rsidRPr="00754025">
        <w:t xml:space="preserve">the proposal is for a two lot subdivision, which </w:t>
      </w:r>
      <w:r w:rsidR="00754025" w:rsidRPr="00754025">
        <w:t>comprises limited change, is consistent with the zoning and relevant policies, and complies with the prevailing lot sizes noted at Clause 21.05-5</w:t>
      </w:r>
      <w:r w:rsidR="00FC048E">
        <w:rPr>
          <w:rStyle w:val="FootnoteReference"/>
        </w:rPr>
        <w:footnoteReference w:id="5"/>
      </w:r>
      <w:r w:rsidR="00754025" w:rsidRPr="00754025">
        <w:t xml:space="preserve"> as occurring on land within the Significant Landscape Overlay.  </w:t>
      </w:r>
      <w:r w:rsidR="00754025">
        <w:t xml:space="preserve">He also submits that the existing lot is much larger than the surrounding prevailing lot size, which enables a subdivision to occur in a respectful manner.  Mr Nickas also submits that </w:t>
      </w:r>
      <w:r w:rsidR="00FC048E">
        <w:t xml:space="preserve">as </w:t>
      </w:r>
      <w:r w:rsidR="00754025">
        <w:t>the Council’s arborist has no concerns with the tree removal proposed from the review site</w:t>
      </w:r>
      <w:r w:rsidR="00FC048E">
        <w:t>, this is a strong indicator that the proposed subdivision will not require the removal of an inappropriate level of vegetation</w:t>
      </w:r>
      <w:r w:rsidR="00754025">
        <w:t>.</w:t>
      </w:r>
    </w:p>
    <w:p w14:paraId="3B64DBE2" w14:textId="77777777" w:rsidR="001A6E1F" w:rsidRDefault="00EA75EE" w:rsidP="00E200CF">
      <w:pPr>
        <w:pStyle w:val="Para1"/>
      </w:pPr>
      <w:r>
        <w:t>I am not persuaded by th</w:t>
      </w:r>
      <w:r w:rsidR="00F50610">
        <w:t>e</w:t>
      </w:r>
      <w:r>
        <w:t xml:space="preserve"> submission</w:t>
      </w:r>
      <w:r w:rsidR="00F50610">
        <w:t>s</w:t>
      </w:r>
      <w:r>
        <w:t xml:space="preserve"> and evidence, and instead find that the propos</w:t>
      </w:r>
      <w:r w:rsidR="005D4C32">
        <w:t>ed subdivision</w:t>
      </w:r>
      <w:r>
        <w:t xml:space="preserve"> is not an appropriate response to the guidance provided by the Whitehorse Planning Scheme.  I make this finding for the following reasons.  I accept that the proposal to subdivide a lot of this size into two allotments, to provide for the establishment of one additional dwelling on the review site, is a limited form of housing growth</w:t>
      </w:r>
      <w:r w:rsidR="00C17036">
        <w:t xml:space="preserve">.  </w:t>
      </w:r>
      <w:r w:rsidR="005D4C32">
        <w:t xml:space="preserve">To that extent, the proposal is consistent with the policy guidance at a local level.  </w:t>
      </w:r>
      <w:r w:rsidR="00C17036">
        <w:t>However</w:t>
      </w:r>
      <w:r>
        <w:t>, due to the attributes of the review site and the surrounding context</w:t>
      </w:r>
      <w:r w:rsidR="00D0168C">
        <w:t>,</w:t>
      </w:r>
      <w:r>
        <w:t xml:space="preserve"> </w:t>
      </w:r>
      <w:r w:rsidR="00FC048E">
        <w:t xml:space="preserve">I find that </w:t>
      </w:r>
      <w:r>
        <w:t>an outcome has not been achieved that will be consistent with the preferred neighbourhood character for this precinct, and the outcomes sought by SLO2.</w:t>
      </w:r>
      <w:r w:rsidR="00FC048E">
        <w:t xml:space="preserve">  I make this finding for the following reasons.</w:t>
      </w:r>
    </w:p>
    <w:p w14:paraId="27543C14" w14:textId="77777777" w:rsidR="00EA75EE" w:rsidRDefault="00EA75EE" w:rsidP="00983035">
      <w:pPr>
        <w:pStyle w:val="Para1"/>
      </w:pPr>
      <w:r>
        <w:t xml:space="preserve">My principal concerns relate to the manner in which the proposed subdivision, and the subsequent </w:t>
      </w:r>
      <w:r w:rsidR="00C17036">
        <w:t xml:space="preserve">future </w:t>
      </w:r>
      <w:r>
        <w:t xml:space="preserve">construction of a dwelling on Lot 2, will alter the balance between built form and landscaping as viewed from the adjacent reserve to the south of the review site. </w:t>
      </w:r>
      <w:r w:rsidR="00C17036">
        <w:t xml:space="preserve"> </w:t>
      </w:r>
      <w:r>
        <w:t xml:space="preserve">The reserve to the south of the review site forms part of </w:t>
      </w:r>
      <w:r w:rsidR="00C17036">
        <w:t>a</w:t>
      </w:r>
      <w:r>
        <w:t xml:space="preserve"> linear reserve along a creek line, that forms part of a landscape and habitat connection from Blackburn Lake, through to land further to the west of the review site.  The </w:t>
      </w:r>
      <w:r w:rsidR="00C17036">
        <w:t xml:space="preserve">Bush Environment Precinct Guidelines </w:t>
      </w:r>
      <w:r>
        <w:t xml:space="preserve">set out particular objectives and design responses for this park interface. </w:t>
      </w:r>
      <w:r w:rsidR="00C17036">
        <w:t xml:space="preserve"> </w:t>
      </w:r>
      <w:r>
        <w:t xml:space="preserve">These are </w:t>
      </w:r>
      <w:r w:rsidR="00C17036">
        <w:t>repeated</w:t>
      </w:r>
      <w:r>
        <w:t xml:space="preserve"> below.</w:t>
      </w:r>
    </w:p>
    <w:p w14:paraId="65918FF9" w14:textId="77777777" w:rsidR="00EA75EE" w:rsidRDefault="00EA75EE" w:rsidP="00EA75EE">
      <w:pPr>
        <w:pStyle w:val="Quote1"/>
      </w:pPr>
      <w:r>
        <w:t>Objective</w:t>
      </w:r>
    </w:p>
    <w:p w14:paraId="1C4D32F4" w14:textId="77777777" w:rsidR="00EA75EE" w:rsidRDefault="00EA75EE" w:rsidP="00EA75EE">
      <w:pPr>
        <w:pStyle w:val="Quote1"/>
      </w:pPr>
      <w:r>
        <w:t>To ensure that new development provides a positive interface with any adjoining parks and open space.</w:t>
      </w:r>
    </w:p>
    <w:p w14:paraId="58A878E8" w14:textId="77777777" w:rsidR="00EA75EE" w:rsidRDefault="00EA75EE" w:rsidP="00EA75EE">
      <w:pPr>
        <w:pStyle w:val="Quote1"/>
      </w:pPr>
      <w:r>
        <w:t>Design Response</w:t>
      </w:r>
    </w:p>
    <w:p w14:paraId="523333F2" w14:textId="77777777" w:rsidR="00EA75EE" w:rsidRDefault="00AA7EAD" w:rsidP="00EA75EE">
      <w:pPr>
        <w:pStyle w:val="Quote3"/>
      </w:pPr>
      <w:r>
        <w:rPr>
          <w:noProof/>
        </w:rPr>
        <w:lastRenderedPageBreak/>
        <w:drawing>
          <wp:anchor distT="0" distB="0" distL="114300" distR="114300" simplePos="0" relativeHeight="251667456" behindDoc="1" locked="0" layoutInCell="1" allowOverlap="1" wp14:anchorId="26857DA9" wp14:editId="6A327D0F">
            <wp:simplePos x="0" y="0"/>
            <wp:positionH relativeFrom="column">
              <wp:posOffset>5183505</wp:posOffset>
            </wp:positionH>
            <wp:positionV relativeFrom="paragraph">
              <wp:posOffset>8459470</wp:posOffset>
            </wp:positionV>
            <wp:extent cx="1080000" cy="1080000"/>
            <wp:effectExtent l="0" t="0" r="6350" b="6350"/>
            <wp:wrapNone/>
            <wp:docPr id="10" name="VCAT Seal10"/>
            <wp:cNvGraphicFramePr/>
            <a:graphic xmlns:a="http://schemas.openxmlformats.org/drawingml/2006/main">
              <a:graphicData uri="http://schemas.openxmlformats.org/drawingml/2006/picture">
                <pic:pic xmlns:pic="http://schemas.openxmlformats.org/drawingml/2006/picture">
                  <pic:nvPicPr>
                    <pic:cNvPr id="10" name=""/>
                    <pic:cNvPicPr/>
                  </pic:nvPicPr>
                  <pic:blipFill>
                    <a:blip r:embed="rId8">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00EA75EE">
        <w:t>Design new buildings to provide a façade to any adjacent parkland to enable casual passive surveillance of the public space.</w:t>
      </w:r>
    </w:p>
    <w:p w14:paraId="115CB8B0" w14:textId="77777777" w:rsidR="00EA75EE" w:rsidRDefault="00EA75EE" w:rsidP="00EA75EE">
      <w:pPr>
        <w:pStyle w:val="Quote3"/>
      </w:pPr>
      <w:r>
        <w:t>Buildings should be setback from the interface boundary so as not to dominate or appear overbearing from within the parkland.</w:t>
      </w:r>
    </w:p>
    <w:p w14:paraId="2D25EF63" w14:textId="77777777" w:rsidR="00E60197" w:rsidRDefault="00E60197" w:rsidP="00983035">
      <w:pPr>
        <w:pStyle w:val="Para1"/>
      </w:pPr>
      <w:r>
        <w:t>In addition to this guidance</w:t>
      </w:r>
      <w:r w:rsidR="00C17036">
        <w:t xml:space="preserve">, </w:t>
      </w:r>
      <w:r>
        <w:t xml:space="preserve">the decision guidelines from SLO2 </w:t>
      </w:r>
      <w:r w:rsidR="00C17036">
        <w:t>encourage</w:t>
      </w:r>
      <w:r>
        <w:t xml:space="preserve"> new buildings to be setback </w:t>
      </w:r>
      <w:r w:rsidR="00C17036">
        <w:t xml:space="preserve">a </w:t>
      </w:r>
      <w:r>
        <w:t xml:space="preserve">reasonable distance from boundaries to provide for landscaping, and </w:t>
      </w:r>
      <w:r w:rsidR="00C17036">
        <w:t>for</w:t>
      </w:r>
      <w:r>
        <w:t xml:space="preserve"> new buildings to achieve an inconspicuous profile, and not dominate the landscape.</w:t>
      </w:r>
    </w:p>
    <w:p w14:paraId="235D6C54" w14:textId="77777777" w:rsidR="00EA75EE" w:rsidRDefault="00EA75EE" w:rsidP="00983035">
      <w:pPr>
        <w:pStyle w:val="Para1"/>
      </w:pPr>
      <w:r>
        <w:t>At present</w:t>
      </w:r>
      <w:r w:rsidR="00E60197">
        <w:t xml:space="preserve">, the review site presents to the linear park as a heavily vegetated interface.  The existing dwelling on the review site has a limited </w:t>
      </w:r>
      <w:r w:rsidR="00D0168C">
        <w:t xml:space="preserve">visual </w:t>
      </w:r>
      <w:r w:rsidR="00E60197">
        <w:t>presence, and the bulk of the experience</w:t>
      </w:r>
      <w:r w:rsidR="00C17036">
        <w:t xml:space="preserve"> a</w:t>
      </w:r>
      <w:r w:rsidR="00E60197">
        <w:t xml:space="preserve">s one walks past the review site is of a heavily vegetated lot.  The proposed subdivision and subsequent construction of a dwelling on </w:t>
      </w:r>
      <w:r w:rsidR="00C17036">
        <w:t xml:space="preserve">the proposed </w:t>
      </w:r>
      <w:r w:rsidR="00E60197">
        <w:t>Lot 2 will necessitate the removal of some vegetation from that lot.  Although none of the vegetation that is proposed to be removed can be said to be significant in any way, it all adds to the general presen</w:t>
      </w:r>
      <w:r w:rsidR="00C17036">
        <w:t>ce</w:t>
      </w:r>
      <w:r w:rsidR="00E60197">
        <w:t xml:space="preserve"> of a heavily landscaped setting</w:t>
      </w:r>
      <w:r w:rsidR="00F50610">
        <w:t>, and contributes significantly to the character of this area</w:t>
      </w:r>
      <w:r w:rsidR="00E60197">
        <w:t>.</w:t>
      </w:r>
    </w:p>
    <w:p w14:paraId="5211914E" w14:textId="77777777" w:rsidR="00E60197" w:rsidRDefault="00E60197" w:rsidP="00983035">
      <w:pPr>
        <w:pStyle w:val="Para1"/>
      </w:pPr>
      <w:r>
        <w:t xml:space="preserve">The key </w:t>
      </w:r>
      <w:r w:rsidR="00C17036">
        <w:t>change in the future</w:t>
      </w:r>
      <w:r>
        <w:t xml:space="preserve"> will occur through the construction</w:t>
      </w:r>
      <w:r w:rsidR="00A629D6">
        <w:t xml:space="preserve"> of a new dwelling on the review site.  Due to the limited size of the proposed building envelope, and its awkward shape, I anticipate that any future dwelling on this site would likely be of two store</w:t>
      </w:r>
      <w:r w:rsidR="00C17036">
        <w:t>y</w:t>
      </w:r>
      <w:r w:rsidR="00A629D6">
        <w:t xml:space="preserve">s in height.  Due to the restricted nature of the building envelope, this </w:t>
      </w:r>
      <w:r w:rsidR="00C17036">
        <w:t xml:space="preserve">future </w:t>
      </w:r>
      <w:r w:rsidR="00A629D6">
        <w:t>two stor</w:t>
      </w:r>
      <w:r w:rsidR="00C17036">
        <w:t>e</w:t>
      </w:r>
      <w:r w:rsidR="00A629D6">
        <w:t>y dwelling will have to be constructed fairly close to the boundary with the linear park, with a relatively long elevation facing the park.</w:t>
      </w:r>
    </w:p>
    <w:p w14:paraId="07003F6C" w14:textId="77777777" w:rsidR="00A629D6" w:rsidRDefault="00C17036" w:rsidP="00983035">
      <w:pPr>
        <w:pStyle w:val="Para1"/>
      </w:pPr>
      <w:r>
        <w:t>It is</w:t>
      </w:r>
      <w:r w:rsidR="00A629D6">
        <w:t xml:space="preserve"> at this point </w:t>
      </w:r>
      <w:r>
        <w:t xml:space="preserve">in my assessment </w:t>
      </w:r>
      <w:r w:rsidR="00A629D6">
        <w:t xml:space="preserve">that I </w:t>
      </w:r>
      <w:r>
        <w:t xml:space="preserve">experience </w:t>
      </w:r>
      <w:r w:rsidR="00A629D6">
        <w:t>some difficulty</w:t>
      </w:r>
      <w:r w:rsidR="00D0168C">
        <w:t xml:space="preserve"> in fully understanding the likely</w:t>
      </w:r>
      <w:r w:rsidR="005D4C32">
        <w:t xml:space="preserve"> neighbourhood</w:t>
      </w:r>
      <w:r w:rsidR="00D0168C">
        <w:t xml:space="preserve"> character outcome</w:t>
      </w:r>
      <w:r>
        <w:t xml:space="preserve">, </w:t>
      </w:r>
      <w:r w:rsidR="00A629D6">
        <w:t xml:space="preserve">due to the choice of the </w:t>
      </w:r>
      <w:r>
        <w:t>A</w:t>
      </w:r>
      <w:r w:rsidR="00A629D6">
        <w:t xml:space="preserve">pplicant to pursue a proposal for a two lot subdivision, rather than the construction of </w:t>
      </w:r>
      <w:r w:rsidR="00F50610">
        <w:t>a second dwelling</w:t>
      </w:r>
      <w:r w:rsidR="00A629D6">
        <w:t xml:space="preserve"> on a lot.  </w:t>
      </w:r>
      <w:r>
        <w:t xml:space="preserve">While the subdivision of land within the Neighbourhood Residential Zone is a legitimate form of development, it needs to occur in a manner which can provide a level of certainty as to the suitability of the future development of the site.  </w:t>
      </w:r>
      <w:r w:rsidR="00A629D6">
        <w:t xml:space="preserve">In accordance with </w:t>
      </w:r>
      <w:r>
        <w:t>C</w:t>
      </w:r>
      <w:r w:rsidR="00A629D6">
        <w:t xml:space="preserve">lause 65.02 of the Whitehorse </w:t>
      </w:r>
      <w:r w:rsidR="00D0168C">
        <w:t>P</w:t>
      </w:r>
      <w:r w:rsidR="00A629D6">
        <w:t xml:space="preserve">lanning </w:t>
      </w:r>
      <w:r w:rsidR="00D0168C">
        <w:t>S</w:t>
      </w:r>
      <w:r w:rsidR="00A629D6">
        <w:t>cheme, I need to consider:</w:t>
      </w:r>
    </w:p>
    <w:p w14:paraId="2F8DBCCC" w14:textId="77777777" w:rsidR="00A629D6" w:rsidRDefault="00A629D6" w:rsidP="00A629D6">
      <w:pPr>
        <w:pStyle w:val="Quote1"/>
      </w:pPr>
      <w:r>
        <w:t>The existing use and possible future development of the land and nearby land.</w:t>
      </w:r>
    </w:p>
    <w:p w14:paraId="6B90982D" w14:textId="77777777" w:rsidR="001A6E1F" w:rsidRDefault="00A629D6" w:rsidP="00E200CF">
      <w:pPr>
        <w:pStyle w:val="Para1"/>
      </w:pPr>
      <w:r>
        <w:t xml:space="preserve">The range of planning controls referred to above also require me to be satisfied </w:t>
      </w:r>
      <w:r w:rsidR="00D0168C">
        <w:t>that</w:t>
      </w:r>
      <w:r>
        <w:t xml:space="preserve"> the future development of the proposed lot </w:t>
      </w:r>
      <w:r w:rsidR="00C17036">
        <w:t>2</w:t>
      </w:r>
      <w:r>
        <w:t xml:space="preserve"> will </w:t>
      </w:r>
      <w:r w:rsidR="00D0168C">
        <w:t xml:space="preserve">be able to </w:t>
      </w:r>
      <w:r>
        <w:t xml:space="preserve">achieve the various objectives sought under the Whitehorse Planning Scheme.  On a standard residential allotment with </w:t>
      </w:r>
      <w:r w:rsidR="00C17036">
        <w:t xml:space="preserve">few </w:t>
      </w:r>
      <w:r>
        <w:t xml:space="preserve">site constraints, the choice to pursue a subdivision as opposed to a medium density application may well present with it </w:t>
      </w:r>
      <w:r w:rsidR="00C17036">
        <w:t>a</w:t>
      </w:r>
      <w:r>
        <w:t xml:space="preserve"> fairly simple set of matters to consider.  On </w:t>
      </w:r>
      <w:r w:rsidR="00C17036">
        <w:t>a</w:t>
      </w:r>
      <w:r>
        <w:t xml:space="preserve"> site such as this, it is far more difficult to make a fair and reasonable assessment of the likely outcome, and the suitability of that outcome having regard to </w:t>
      </w:r>
      <w:r w:rsidR="00AA7EAD">
        <w:rPr>
          <w:noProof/>
        </w:rPr>
        <w:lastRenderedPageBreak/>
        <w:drawing>
          <wp:anchor distT="0" distB="0" distL="114300" distR="114300" simplePos="0" relativeHeight="251668480" behindDoc="1" locked="0" layoutInCell="1" allowOverlap="1" wp14:anchorId="2DF48FED" wp14:editId="1A424B05">
            <wp:simplePos x="0" y="0"/>
            <wp:positionH relativeFrom="column">
              <wp:posOffset>5183505</wp:posOffset>
            </wp:positionH>
            <wp:positionV relativeFrom="paragraph">
              <wp:posOffset>8459470</wp:posOffset>
            </wp:positionV>
            <wp:extent cx="1080000" cy="1080000"/>
            <wp:effectExtent l="0" t="0" r="6350" b="6350"/>
            <wp:wrapNone/>
            <wp:docPr id="11" name="VCAT Seal11"/>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r:embed="rId8">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t>the guidance from the Whitehorse Planning Scheme.</w:t>
      </w:r>
      <w:r w:rsidR="00C17036">
        <w:t xml:space="preserve">  That is due to the extent to which this physical context is sensitive to the interplay between the landscape and the built form, and the extent of built form that will be visible from an adjacent reserve.</w:t>
      </w:r>
    </w:p>
    <w:p w14:paraId="252AEDC9" w14:textId="77777777" w:rsidR="00A629D6" w:rsidRDefault="00A629D6" w:rsidP="00E200CF">
      <w:pPr>
        <w:pStyle w:val="Para1"/>
      </w:pPr>
      <w:r>
        <w:t xml:space="preserve">In undertaking this difficult assessment, I </w:t>
      </w:r>
      <w:r w:rsidR="00D0168C">
        <w:t xml:space="preserve">have decided </w:t>
      </w:r>
      <w:r>
        <w:t xml:space="preserve">to take a conservative approach. </w:t>
      </w:r>
      <w:r w:rsidR="00C17036">
        <w:t xml:space="preserve"> </w:t>
      </w:r>
      <w:r>
        <w:t xml:space="preserve">That is because the review site forms part of a neighbourhood that has been identified for the most limited form of housing growth within the municipality, while at the same time </w:t>
      </w:r>
      <w:r w:rsidR="00C17036">
        <w:t xml:space="preserve">is subject to </w:t>
      </w:r>
      <w:r>
        <w:t xml:space="preserve">a set of policies and planning controls </w:t>
      </w:r>
      <w:r w:rsidR="00C17036">
        <w:t xml:space="preserve">that </w:t>
      </w:r>
      <w:r>
        <w:t>seek to achieve particular neighbourhood character and landscape outcomes.</w:t>
      </w:r>
      <w:r w:rsidR="00AD75EF">
        <w:t xml:space="preserve">  The neighbourhood character and landscape outcomes that are sought in this neighbourhood demand a particular response on sites such as this, </w:t>
      </w:r>
      <w:r w:rsidR="005D4C32">
        <w:t>especially</w:t>
      </w:r>
      <w:r w:rsidR="00AD75EF">
        <w:t xml:space="preserve"> given its abuttal to a reserve. </w:t>
      </w:r>
      <w:r w:rsidR="00C17036">
        <w:t xml:space="preserve"> The n</w:t>
      </w:r>
      <w:r w:rsidR="00AD75EF">
        <w:t xml:space="preserve">eighbourhood character and landscape characteristics of this neighbourhood, </w:t>
      </w:r>
      <w:r w:rsidR="00C17036">
        <w:t>have</w:t>
      </w:r>
      <w:r w:rsidR="00AD75EF">
        <w:t xml:space="preserve"> the very real potential to be detrimentally affected by a future development of an inappropriate form.</w:t>
      </w:r>
    </w:p>
    <w:p w14:paraId="7AF1002C" w14:textId="77777777" w:rsidR="00784DD5" w:rsidRDefault="00784DD5" w:rsidP="00E200CF">
      <w:pPr>
        <w:pStyle w:val="Para1"/>
      </w:pPr>
      <w:r>
        <w:t>Ultimately I have not been persuaded that the proposed layout of the two lot subdivision, and the proposed building envelope on lot 2, will likely lead to an ultimate future development that achieves the character outcome</w:t>
      </w:r>
      <w:r w:rsidR="00FC048E">
        <w:t>s</w:t>
      </w:r>
      <w:r>
        <w:t xml:space="preserve"> sought in this sensitive location.  In particular, I have not been persuaded that an appropriate balance of built form and landscaping will be achieved on </w:t>
      </w:r>
      <w:r w:rsidR="00FC048E">
        <w:t xml:space="preserve">the review site, on </w:t>
      </w:r>
      <w:r>
        <w:t>views from the linear park to the south of the review site.  Part of my concern is the level of design flexibility that will occur on lot 2, as a result of the decision of the Applicant to pursue a subdivision proposal for the review site, rather than a proposal for two dwellings which would have put forward a particular built form and landscaping proposal for lot 2.</w:t>
      </w:r>
    </w:p>
    <w:p w14:paraId="0AA0951E" w14:textId="77777777" w:rsidR="00784DD5" w:rsidRDefault="00AD75EF" w:rsidP="00E200CF">
      <w:pPr>
        <w:pStyle w:val="Para1"/>
      </w:pPr>
      <w:r>
        <w:t xml:space="preserve">At the same time, I have concerns about the practicality of constructing a dwelling within the </w:t>
      </w:r>
      <w:r w:rsidR="00784DD5">
        <w:t xml:space="preserve">proposed </w:t>
      </w:r>
      <w:r>
        <w:t xml:space="preserve">building envelope on lot 2.  </w:t>
      </w:r>
      <w:r w:rsidR="00784DD5">
        <w:t xml:space="preserve">While the proposed building envelope has an area of 168 square metres, it does not contain a 10 by 15 rectangle as sought by Clause 56.04-2 of the Whitehorse Planning Scheme.  Instead it is an unusual shape, with some awkward angles, that would be difficult to efficiently use, given the common preference for rooms and dwellings which comprise of a series of rectangles and right angles.  The positioning of a garage within this envelope would also result in a loss of some of the building envelope, given the manner in which the edges of the building envelope relate to one another and the </w:t>
      </w:r>
      <w:r w:rsidR="00FC048E">
        <w:t xml:space="preserve">existing and future </w:t>
      </w:r>
      <w:r w:rsidR="00784DD5">
        <w:t>positioning of the driveway.</w:t>
      </w:r>
    </w:p>
    <w:p w14:paraId="4D856090" w14:textId="77777777" w:rsidR="00AD75EF" w:rsidRDefault="00AD75EF" w:rsidP="00E200CF">
      <w:pPr>
        <w:pStyle w:val="Para1"/>
      </w:pPr>
      <w:r>
        <w:t>In my questions to Mr Pagliaro I examined with him the likely location of a garage, the likely setbacks that are required under the provisions of SLO</w:t>
      </w:r>
      <w:r w:rsidR="00947EF5">
        <w:t>2</w:t>
      </w:r>
      <w:r>
        <w:t xml:space="preserve">, and thus the likely space that is left available for a dwelling footprint. </w:t>
      </w:r>
      <w:r w:rsidR="00947EF5">
        <w:t xml:space="preserve"> </w:t>
      </w:r>
      <w:r>
        <w:t xml:space="preserve">It is evident that the driving force behind this building envelope has been a response to the nominated boundaries of lot </w:t>
      </w:r>
      <w:r w:rsidR="00947EF5">
        <w:t>2</w:t>
      </w:r>
      <w:r>
        <w:t>, the retention of vegetation on the review site, and the protection of the critical root zone</w:t>
      </w:r>
      <w:r w:rsidR="00947EF5">
        <w:t>s</w:t>
      </w:r>
      <w:r>
        <w:t xml:space="preserve"> of vegetation on the adjacent reserve. </w:t>
      </w:r>
      <w:r w:rsidR="00947EF5">
        <w:t xml:space="preserve"> </w:t>
      </w:r>
      <w:r>
        <w:t>It appears to me that what has not been seriously considered is how a dwelling will actually be designed to fit within this building envelope</w:t>
      </w:r>
      <w:r w:rsidR="00947EF5">
        <w:t xml:space="preserve">.  As such, </w:t>
      </w:r>
      <w:r>
        <w:t xml:space="preserve">I anticipate that, in the event that I approve this </w:t>
      </w:r>
      <w:r w:rsidR="00AA7EAD">
        <w:rPr>
          <w:noProof/>
        </w:rPr>
        <w:lastRenderedPageBreak/>
        <w:drawing>
          <wp:anchor distT="0" distB="0" distL="114300" distR="114300" simplePos="0" relativeHeight="251669504" behindDoc="1" locked="0" layoutInCell="1" allowOverlap="1" wp14:anchorId="7C44C313" wp14:editId="74FC9BF2">
            <wp:simplePos x="0" y="0"/>
            <wp:positionH relativeFrom="column">
              <wp:posOffset>5183505</wp:posOffset>
            </wp:positionH>
            <wp:positionV relativeFrom="paragraph">
              <wp:posOffset>8459470</wp:posOffset>
            </wp:positionV>
            <wp:extent cx="1080000" cy="1080000"/>
            <wp:effectExtent l="0" t="0" r="6350" b="6350"/>
            <wp:wrapNone/>
            <wp:docPr id="12" name="VCAT Seal12"/>
            <wp:cNvGraphicFramePr/>
            <a:graphic xmlns:a="http://schemas.openxmlformats.org/drawingml/2006/main">
              <a:graphicData uri="http://schemas.openxmlformats.org/drawingml/2006/picture">
                <pic:pic xmlns:pic="http://schemas.openxmlformats.org/drawingml/2006/picture">
                  <pic:nvPicPr>
                    <pic:cNvPr id="12" name=""/>
                    <pic:cNvPicPr/>
                  </pic:nvPicPr>
                  <pic:blipFill>
                    <a:blip r:embed="rId8">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t>two lot subdivision, a future owner of lot 2 may well seek to demonstrate to the Council that a viable dwelling on that lot would need to extend beyond the building envelope</w:t>
      </w:r>
      <w:r w:rsidR="00947EF5">
        <w:t xml:space="preserve">.  This has the potential to </w:t>
      </w:r>
      <w:r>
        <w:t>negatively impact the outcomes sought under SLO</w:t>
      </w:r>
      <w:r w:rsidR="00725495">
        <w:t xml:space="preserve">2 and </w:t>
      </w:r>
      <w:r w:rsidR="00947EF5">
        <w:t xml:space="preserve">the </w:t>
      </w:r>
      <w:r w:rsidR="00725495">
        <w:t>related policy</w:t>
      </w:r>
      <w:r w:rsidR="00947EF5">
        <w:t xml:space="preserve"> framework</w:t>
      </w:r>
      <w:r w:rsidR="00725495">
        <w:t>.</w:t>
      </w:r>
    </w:p>
    <w:p w14:paraId="10D644CA" w14:textId="77777777" w:rsidR="00AD75EF" w:rsidRDefault="00AD75EF" w:rsidP="00E200CF">
      <w:pPr>
        <w:pStyle w:val="Para1"/>
      </w:pPr>
      <w:r>
        <w:t xml:space="preserve">In the end, I have not been persuaded that the future development of lot </w:t>
      </w:r>
      <w:r w:rsidR="00947EF5">
        <w:t>2</w:t>
      </w:r>
      <w:r>
        <w:t xml:space="preserve"> will likely occur in a manner that will achieve the neighbourhood character and landscape outcomes so clearly sought in this precinct.</w:t>
      </w:r>
      <w:r w:rsidR="00947EF5">
        <w:t xml:space="preserve"> </w:t>
      </w:r>
      <w:r>
        <w:t xml:space="preserve"> In particular, I have not been persuaded that the future development of lot </w:t>
      </w:r>
      <w:r w:rsidR="00947EF5">
        <w:t>2</w:t>
      </w:r>
      <w:r>
        <w:t xml:space="preserve"> will achieve an appropriate balance of built form and landscaping in its presentation to the adjacent reserve.  </w:t>
      </w:r>
    </w:p>
    <w:p w14:paraId="0719B002" w14:textId="77777777" w:rsidR="00C71BA3" w:rsidRDefault="00947EF5" w:rsidP="00E200CF">
      <w:pPr>
        <w:pStyle w:val="Para1"/>
      </w:pPr>
      <w:r>
        <w:t>For these reasons I find that the proposed development will not achieve the outcomes sought for this neighbourhood under the Whitehorse Planning Scheme.  It therefore follows that I will not direct the grant of a planning permit</w:t>
      </w:r>
      <w:r w:rsidR="00784DD5">
        <w:t>.</w:t>
      </w:r>
    </w:p>
    <w:p w14:paraId="7F820029" w14:textId="77777777" w:rsidR="00784DD5" w:rsidRDefault="00784DD5" w:rsidP="00E200CF">
      <w:pPr>
        <w:pStyle w:val="Para1"/>
      </w:pPr>
      <w:r>
        <w:t>Given my finding on this threshold matter of the response to the context and neighbourhood character, I will not proceed to assess the remaining relevant matters.</w:t>
      </w:r>
    </w:p>
    <w:p w14:paraId="394D1104" w14:textId="77777777" w:rsidR="00E200CF" w:rsidRDefault="00E200CF" w:rsidP="00E200CF">
      <w:pPr>
        <w:pStyle w:val="Heading2"/>
      </w:pPr>
      <w:r>
        <w:t>Conclusion</w:t>
      </w:r>
    </w:p>
    <w:p w14:paraId="5C92A47D" w14:textId="77777777" w:rsidR="00E200CF" w:rsidRPr="00784DD5" w:rsidRDefault="00E200CF" w:rsidP="00E200CF">
      <w:pPr>
        <w:pStyle w:val="Para1"/>
      </w:pPr>
      <w:r>
        <w:t xml:space="preserve">For the reasons given above, the decision of the </w:t>
      </w:r>
      <w:r w:rsidR="002563BE">
        <w:t xml:space="preserve">responsible authority </w:t>
      </w:r>
      <w:r>
        <w:t xml:space="preserve">is </w:t>
      </w:r>
      <w:r w:rsidRPr="00784DD5">
        <w:t>affirmed</w:t>
      </w:r>
      <w:r w:rsidR="00784DD5" w:rsidRPr="00784DD5">
        <w:t>.</w:t>
      </w:r>
      <w:r w:rsidRPr="00784DD5">
        <w:t xml:space="preserve">  No permit is granted.</w:t>
      </w:r>
    </w:p>
    <w:p w14:paraId="00BD27AE" w14:textId="77777777" w:rsidR="00E200CF" w:rsidRDefault="00E200CF" w:rsidP="00E200CF"/>
    <w:p w14:paraId="73A7F0A3" w14:textId="77777777" w:rsidR="00E200CF" w:rsidRDefault="00E200CF" w:rsidP="00E200CF"/>
    <w:p w14:paraId="0CC7806D" w14:textId="77777777" w:rsidR="00E200CF" w:rsidRDefault="00E200CF" w:rsidP="00E200CF"/>
    <w:p w14:paraId="5C968121" w14:textId="77777777" w:rsidR="00E200CF" w:rsidRDefault="00E200CF" w:rsidP="00E200CF"/>
    <w:tbl>
      <w:tblPr>
        <w:tblW w:w="4999" w:type="pct"/>
        <w:tblLook w:val="0000" w:firstRow="0" w:lastRow="0" w:firstColumn="0" w:lastColumn="0" w:noHBand="0" w:noVBand="0"/>
      </w:tblPr>
      <w:tblGrid>
        <w:gridCol w:w="3423"/>
        <w:gridCol w:w="1660"/>
        <w:gridCol w:w="3420"/>
      </w:tblGrid>
      <w:tr w:rsidR="00CC60A6" w14:paraId="7DA7AF18" w14:textId="77777777" w:rsidTr="00CC60A6">
        <w:tc>
          <w:tcPr>
            <w:tcW w:w="2013" w:type="pct"/>
          </w:tcPr>
          <w:p w14:paraId="14E4BD49" w14:textId="77777777" w:rsidR="00CC60A6" w:rsidRDefault="00AB5E1D" w:rsidP="00CC60A6">
            <w:pPr>
              <w:tabs>
                <w:tab w:val="left" w:pos="1515"/>
              </w:tabs>
              <w:spacing w:before="80" w:after="100"/>
              <w:rPr>
                <w:rFonts w:ascii="Times New Roman Bold" w:hAnsi="Times New Roman Bold"/>
                <w:b/>
              </w:rPr>
            </w:pPr>
            <w:r>
              <w:rPr>
                <w:rFonts w:ascii="Times New Roman Bold" w:hAnsi="Times New Roman Bold"/>
                <w:b/>
              </w:rPr>
              <w:t>Michael Deidun</w:t>
            </w:r>
          </w:p>
        </w:tc>
        <w:tc>
          <w:tcPr>
            <w:tcW w:w="976" w:type="pct"/>
          </w:tcPr>
          <w:p w14:paraId="263E5B62" w14:textId="77777777" w:rsidR="00CC60A6" w:rsidRDefault="00CC60A6" w:rsidP="00CC60A6"/>
        </w:tc>
        <w:tc>
          <w:tcPr>
            <w:tcW w:w="2011" w:type="pct"/>
          </w:tcPr>
          <w:p w14:paraId="41448B7A" w14:textId="77777777" w:rsidR="00CC60A6" w:rsidRDefault="00CC60A6" w:rsidP="00CC60A6"/>
        </w:tc>
      </w:tr>
      <w:tr w:rsidR="00CC60A6" w14:paraId="0A82DACF" w14:textId="77777777" w:rsidTr="00CC60A6">
        <w:tc>
          <w:tcPr>
            <w:tcW w:w="2013" w:type="pct"/>
          </w:tcPr>
          <w:p w14:paraId="24F51B84" w14:textId="77777777" w:rsidR="00CC60A6" w:rsidRPr="00AB5E1D" w:rsidRDefault="00CC60A6" w:rsidP="00CC60A6">
            <w:pPr>
              <w:spacing w:before="80" w:after="100"/>
              <w:rPr>
                <w:b/>
              </w:rPr>
            </w:pPr>
            <w:r w:rsidRPr="00AB5E1D">
              <w:rPr>
                <w:b/>
              </w:rPr>
              <w:t>Member</w:t>
            </w:r>
          </w:p>
        </w:tc>
        <w:tc>
          <w:tcPr>
            <w:tcW w:w="976" w:type="pct"/>
          </w:tcPr>
          <w:p w14:paraId="6A2D4ABA" w14:textId="77777777" w:rsidR="00CC60A6" w:rsidRDefault="00CC60A6" w:rsidP="00CC60A6"/>
        </w:tc>
        <w:tc>
          <w:tcPr>
            <w:tcW w:w="2011" w:type="pct"/>
          </w:tcPr>
          <w:p w14:paraId="6698AF1D" w14:textId="77777777" w:rsidR="00CC60A6" w:rsidRDefault="00CC60A6" w:rsidP="00CC60A6"/>
        </w:tc>
      </w:tr>
    </w:tbl>
    <w:p w14:paraId="5910E08F" w14:textId="77777777" w:rsidR="00E200CF" w:rsidRDefault="00E200CF" w:rsidP="00E200CF"/>
    <w:p w14:paraId="7783B1FA" w14:textId="77777777" w:rsidR="00E200CF" w:rsidRDefault="00E200CF" w:rsidP="00E200CF"/>
    <w:sectPr w:rsidR="00E200CF">
      <w:footerReference w:type="default" r:id="rId9"/>
      <w:pgSz w:w="11907" w:h="16840" w:code="9"/>
      <w:pgMar w:top="1418" w:right="1701" w:bottom="1418" w:left="1701"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F332EA" w14:textId="77777777" w:rsidR="00FA3475" w:rsidRDefault="00FA3475">
      <w:r>
        <w:separator/>
      </w:r>
    </w:p>
  </w:endnote>
  <w:endnote w:type="continuationSeparator" w:id="0">
    <w:p w14:paraId="5FF80205" w14:textId="77777777" w:rsidR="00FA3475" w:rsidRDefault="00FA3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Borders>
        <w:top w:val="single" w:sz="4" w:space="0" w:color="auto"/>
      </w:tblBorders>
      <w:tblLook w:val="0000" w:firstRow="0" w:lastRow="0" w:firstColumn="0" w:lastColumn="0" w:noHBand="0" w:noVBand="0"/>
    </w:tblPr>
    <w:tblGrid>
      <w:gridCol w:w="6607"/>
      <w:gridCol w:w="1898"/>
    </w:tblGrid>
    <w:tr w:rsidR="007F601B" w14:paraId="70476465" w14:textId="77777777">
      <w:trPr>
        <w:cantSplit/>
      </w:trPr>
      <w:tc>
        <w:tcPr>
          <w:tcW w:w="3884" w:type="pct"/>
        </w:tcPr>
        <w:p w14:paraId="4C4CF67E" w14:textId="77777777" w:rsidR="007F601B" w:rsidRDefault="007F601B">
          <w:pPr>
            <w:pStyle w:val="Footer"/>
            <w:spacing w:beforeLines="60" w:before="144"/>
            <w:rPr>
              <w:rFonts w:cs="Arial"/>
              <w:sz w:val="18"/>
              <w:szCs w:val="18"/>
            </w:rPr>
          </w:pPr>
          <w:bookmarkStart w:id="23" w:name="FooterDescription"/>
          <w:bookmarkStart w:id="24" w:name="FooterFileNo1"/>
          <w:bookmarkEnd w:id="23"/>
          <w:bookmarkEnd w:id="24"/>
          <w:r>
            <w:rPr>
              <w:rFonts w:cs="Arial"/>
              <w:sz w:val="18"/>
              <w:szCs w:val="18"/>
            </w:rPr>
            <w:t xml:space="preserve">VCAT </w:t>
          </w:r>
          <w:r w:rsidRPr="000D4E49">
            <w:rPr>
              <w:rFonts w:cs="Arial"/>
              <w:sz w:val="18"/>
              <w:szCs w:val="18"/>
            </w:rPr>
            <w:t xml:space="preserve">Reference No. </w:t>
          </w:r>
          <w:r w:rsidR="000D4E49" w:rsidRPr="000D4E49">
            <w:rPr>
              <w:sz w:val="18"/>
              <w:szCs w:val="18"/>
            </w:rPr>
            <w:t>P1192/2019</w:t>
          </w:r>
        </w:p>
      </w:tc>
      <w:tc>
        <w:tcPr>
          <w:tcW w:w="1116" w:type="pct"/>
        </w:tcPr>
        <w:p w14:paraId="3F991F02" w14:textId="77777777" w:rsidR="007F601B" w:rsidRDefault="007F601B">
          <w:pPr>
            <w:pStyle w:val="Footer"/>
            <w:spacing w:beforeLines="60" w:before="144"/>
            <w:jc w:val="right"/>
            <w:rPr>
              <w:rFonts w:cs="Arial"/>
              <w:sz w:val="18"/>
              <w:szCs w:val="18"/>
            </w:rPr>
          </w:pPr>
          <w:r>
            <w:rPr>
              <w:rFonts w:cs="Arial"/>
              <w:sz w:val="18"/>
              <w:szCs w:val="18"/>
            </w:rPr>
            <w:t xml:space="preserve">Page </w:t>
          </w:r>
          <w:r>
            <w:rPr>
              <w:rFonts w:cs="Arial"/>
              <w:sz w:val="18"/>
              <w:szCs w:val="18"/>
            </w:rPr>
            <w:fldChar w:fldCharType="begin"/>
          </w:r>
          <w:r>
            <w:rPr>
              <w:rFonts w:cs="Arial"/>
              <w:sz w:val="18"/>
              <w:szCs w:val="18"/>
            </w:rPr>
            <w:instrText xml:space="preserve"> PAGE </w:instrText>
          </w:r>
          <w:r>
            <w:rPr>
              <w:rFonts w:cs="Arial"/>
              <w:sz w:val="18"/>
              <w:szCs w:val="18"/>
            </w:rPr>
            <w:fldChar w:fldCharType="separate"/>
          </w:r>
          <w:r w:rsidR="004D1D66">
            <w:rPr>
              <w:rFonts w:cs="Arial"/>
              <w:noProof/>
              <w:sz w:val="18"/>
              <w:szCs w:val="18"/>
            </w:rPr>
            <w:t>11</w:t>
          </w:r>
          <w:r>
            <w:rPr>
              <w:rFonts w:cs="Arial"/>
              <w:sz w:val="18"/>
              <w:szCs w:val="18"/>
            </w:rPr>
            <w:fldChar w:fldCharType="end"/>
          </w:r>
          <w:r>
            <w:rPr>
              <w:rFonts w:cs="Arial"/>
              <w:sz w:val="18"/>
              <w:szCs w:val="18"/>
            </w:rPr>
            <w:t xml:space="preserve"> of </w:t>
          </w:r>
          <w:r>
            <w:rPr>
              <w:rFonts w:cs="Arial"/>
              <w:sz w:val="18"/>
              <w:szCs w:val="18"/>
            </w:rPr>
            <w:fldChar w:fldCharType="begin"/>
          </w:r>
          <w:r>
            <w:rPr>
              <w:rFonts w:cs="Arial"/>
              <w:sz w:val="18"/>
              <w:szCs w:val="18"/>
            </w:rPr>
            <w:instrText xml:space="preserve"> NUMPAGES </w:instrText>
          </w:r>
          <w:r>
            <w:rPr>
              <w:rFonts w:cs="Arial"/>
              <w:sz w:val="18"/>
              <w:szCs w:val="18"/>
            </w:rPr>
            <w:fldChar w:fldCharType="separate"/>
          </w:r>
          <w:r w:rsidR="004D1D66">
            <w:rPr>
              <w:rFonts w:cs="Arial"/>
              <w:noProof/>
              <w:sz w:val="18"/>
              <w:szCs w:val="18"/>
            </w:rPr>
            <w:t>12</w:t>
          </w:r>
          <w:r>
            <w:rPr>
              <w:rFonts w:cs="Arial"/>
              <w:sz w:val="18"/>
              <w:szCs w:val="18"/>
            </w:rPr>
            <w:fldChar w:fldCharType="end"/>
          </w:r>
        </w:p>
      </w:tc>
    </w:tr>
  </w:tbl>
  <w:p w14:paraId="7DE35A45" w14:textId="77777777" w:rsidR="007F601B" w:rsidRDefault="007F601B">
    <w:pPr>
      <w:pStyle w:val="Footer"/>
      <w:rPr>
        <w:sz w:val="2"/>
      </w:rPr>
    </w:pPr>
  </w:p>
  <w:p w14:paraId="160AF258" w14:textId="77777777" w:rsidR="007F601B" w:rsidRDefault="007F601B">
    <w:pPr>
      <w:rPr>
        <w:sz w:val="2"/>
      </w:rPr>
    </w:pPr>
  </w:p>
  <w:p w14:paraId="3CFFD563" w14:textId="77777777" w:rsidR="007F601B" w:rsidRDefault="007F601B">
    <w:pPr>
      <w:pStyle w:val="Footer"/>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89B32C" w14:textId="77777777" w:rsidR="00FA3475" w:rsidRDefault="00FA3475">
      <w:pPr>
        <w:pStyle w:val="Footer"/>
        <w:pBdr>
          <w:top w:val="single" w:sz="4" w:space="1" w:color="auto"/>
        </w:pBdr>
        <w:rPr>
          <w:sz w:val="12"/>
        </w:rPr>
      </w:pPr>
    </w:p>
  </w:footnote>
  <w:footnote w:type="continuationSeparator" w:id="0">
    <w:p w14:paraId="7FCBC4E7" w14:textId="77777777" w:rsidR="00FA3475" w:rsidRDefault="00FA3475">
      <w:r>
        <w:continuationSeparator/>
      </w:r>
    </w:p>
  </w:footnote>
  <w:footnote w:id="1">
    <w:p w14:paraId="6A3C8451" w14:textId="77777777" w:rsidR="00E200CF" w:rsidRDefault="00E200CF" w:rsidP="00E200CF">
      <w:pPr>
        <w:pStyle w:val="FootnoteText"/>
      </w:pPr>
      <w:r>
        <w:rPr>
          <w:rStyle w:val="FootnoteReference"/>
        </w:rPr>
        <w:footnoteRef/>
      </w:r>
      <w:r>
        <w:t xml:space="preserve"> </w:t>
      </w:r>
      <w:r>
        <w:tab/>
        <w:t>The submissions and evidence of the parties, any supporting exhibits given at the hearing and the statements of grounds filed have all been considered in the determination of the proceeding. In accordance with the practice of the Tribunal, not all of this material will be cited or referred to in these reasons.</w:t>
      </w:r>
      <w:r w:rsidRPr="00E62037">
        <w:t xml:space="preserve"> </w:t>
      </w:r>
    </w:p>
  </w:footnote>
  <w:footnote w:id="2">
    <w:p w14:paraId="2EAD13E2" w14:textId="77777777" w:rsidR="001A6E1F" w:rsidRDefault="001A6E1F">
      <w:pPr>
        <w:pStyle w:val="FootnoteText"/>
      </w:pPr>
      <w:r>
        <w:rPr>
          <w:rStyle w:val="FootnoteReference"/>
        </w:rPr>
        <w:footnoteRef/>
      </w:r>
      <w:r>
        <w:t xml:space="preserve"> </w:t>
      </w:r>
      <w:r>
        <w:tab/>
        <w:t>Clause 21.06-3 of the Whitehorse Planning Scheme</w:t>
      </w:r>
    </w:p>
  </w:footnote>
  <w:footnote w:id="3">
    <w:p w14:paraId="40E093A0" w14:textId="77777777" w:rsidR="001A6E1F" w:rsidRDefault="001A6E1F">
      <w:pPr>
        <w:pStyle w:val="FootnoteText"/>
      </w:pPr>
      <w:r>
        <w:rPr>
          <w:rStyle w:val="FootnoteReference"/>
        </w:rPr>
        <w:footnoteRef/>
      </w:r>
      <w:r>
        <w:t xml:space="preserve"> </w:t>
      </w:r>
      <w:r>
        <w:tab/>
        <w:t>Clause 21.06-6</w:t>
      </w:r>
    </w:p>
  </w:footnote>
  <w:footnote w:id="4">
    <w:p w14:paraId="028C48C1" w14:textId="77777777" w:rsidR="00610FEB" w:rsidRDefault="00610FEB">
      <w:pPr>
        <w:pStyle w:val="FootnoteText"/>
      </w:pPr>
      <w:r>
        <w:rPr>
          <w:rStyle w:val="FootnoteReference"/>
        </w:rPr>
        <w:footnoteRef/>
      </w:r>
      <w:r>
        <w:t xml:space="preserve"> </w:t>
      </w:r>
      <w:r>
        <w:tab/>
        <w:t>Clause 22.03-4</w:t>
      </w:r>
    </w:p>
  </w:footnote>
  <w:footnote w:id="5">
    <w:p w14:paraId="5ACFCF9B" w14:textId="77777777" w:rsidR="00FC048E" w:rsidRDefault="00FC048E">
      <w:pPr>
        <w:pStyle w:val="FootnoteText"/>
      </w:pPr>
      <w:r>
        <w:rPr>
          <w:rStyle w:val="FootnoteReference"/>
        </w:rPr>
        <w:footnoteRef/>
      </w:r>
      <w:r>
        <w:t xml:space="preserve"> </w:t>
      </w:r>
      <w:r>
        <w:tab/>
        <w:t xml:space="preserve">Clause 21.05-5 contains Implementation statements, including, </w:t>
      </w:r>
      <w:r w:rsidRPr="00F50610">
        <w:rPr>
          <w:i/>
          <w:iCs/>
        </w:rPr>
        <w:t>“Ensuring that lot sizes in the area affected by the Significant Landscape Overlay are generally in accordance with the prevailing minimum lot size of 650 square metres.”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85E99"/>
    <w:multiLevelType w:val="hybridMultilevel"/>
    <w:tmpl w:val="94EEEEFA"/>
    <w:lvl w:ilvl="0" w:tplc="FFFFFFFF">
      <w:start w:val="1"/>
      <w:numFmt w:val="decimal"/>
      <w:lvlText w:val="%1."/>
      <w:lvlJc w:val="left"/>
      <w:pPr>
        <w:ind w:left="720" w:hanging="360"/>
      </w:pPr>
    </w:lvl>
    <w:lvl w:ilvl="1" w:tplc="0C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A62D53"/>
    <w:multiLevelType w:val="multilevel"/>
    <w:tmpl w:val="BED225BA"/>
    <w:lvl w:ilvl="0">
      <w:start w:val="1"/>
      <w:numFmt w:val="decimal"/>
      <w:pStyle w:val="Order2"/>
      <w:lvlText w:val="%1"/>
      <w:lvlJc w:val="left"/>
      <w:pPr>
        <w:ind w:left="567" w:hanging="567"/>
      </w:pPr>
      <w:rPr>
        <w:rFonts w:hint="default"/>
      </w:rPr>
    </w:lvl>
    <w:lvl w:ilvl="1">
      <w:start w:val="1"/>
      <w:numFmt w:val="lowerLetter"/>
      <w:lvlText w:val="(%2)"/>
      <w:lvlJc w:val="left"/>
      <w:pPr>
        <w:ind w:left="1134" w:hanging="567"/>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268" w:hanging="567"/>
      </w:pPr>
      <w:rPr>
        <w:rFonts w:hint="default"/>
        <w:sz w:val="22"/>
      </w:rPr>
    </w:lvl>
    <w:lvl w:ilvl="4">
      <w:start w:val="1"/>
      <w:numFmt w:val="lowerLetter"/>
      <w:lvlText w:val="(%5)"/>
      <w:lvlJc w:val="left"/>
      <w:pPr>
        <w:ind w:left="2835" w:hanging="567"/>
      </w:pPr>
      <w:rPr>
        <w:rFonts w:hint="default"/>
      </w:rPr>
    </w:lvl>
    <w:lvl w:ilvl="5">
      <w:start w:val="1"/>
      <w:numFmt w:val="lowerRoman"/>
      <w:lvlText w:val="(%6)"/>
      <w:lvlJc w:val="lef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left"/>
      <w:pPr>
        <w:ind w:left="5103" w:hanging="567"/>
      </w:pPr>
      <w:rPr>
        <w:rFonts w:hint="default"/>
      </w:rPr>
    </w:lvl>
  </w:abstractNum>
  <w:abstractNum w:abstractNumId="2" w15:restartNumberingAfterBreak="0">
    <w:nsid w:val="0AA81283"/>
    <w:multiLevelType w:val="hybridMultilevel"/>
    <w:tmpl w:val="E05CEAF0"/>
    <w:lvl w:ilvl="0" w:tplc="6D527BE2">
      <w:start w:val="1"/>
      <w:numFmt w:val="decimal"/>
      <w:pStyle w:val="Para1"/>
      <w:lvlText w:val="%1"/>
      <w:lvlJc w:val="left"/>
      <w:pPr>
        <w:tabs>
          <w:tab w:val="num" w:pos="567"/>
        </w:tabs>
        <w:ind w:left="567" w:hanging="567"/>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B893A7F"/>
    <w:multiLevelType w:val="hybridMultilevel"/>
    <w:tmpl w:val="A59A9106"/>
    <w:lvl w:ilvl="0" w:tplc="767AA104">
      <w:start w:val="1"/>
      <w:numFmt w:val="lowerLetter"/>
      <w:pStyle w:val="Para4"/>
      <w:lvlText w:val="%1"/>
      <w:lvlJc w:val="left"/>
      <w:pPr>
        <w:tabs>
          <w:tab w:val="num" w:pos="1134"/>
        </w:tabs>
        <w:ind w:left="1134" w:hanging="567"/>
      </w:pPr>
      <w:rPr>
        <w:rFonts w:hint="default"/>
      </w:rPr>
    </w:lvl>
    <w:lvl w:ilvl="1" w:tplc="EA08CFEC">
      <w:start w:val="1"/>
      <w:numFmt w:val="bullet"/>
      <w:lvlText w:val=""/>
      <w:lvlJc w:val="left"/>
      <w:pPr>
        <w:tabs>
          <w:tab w:val="num" w:pos="1134"/>
        </w:tabs>
        <w:ind w:left="1134" w:hanging="567"/>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E0188D08">
      <w:start w:val="1"/>
      <w:numFmt w:val="lowerLetter"/>
      <w:pStyle w:val="Para4"/>
      <w:lvlText w:val="%5."/>
      <w:lvlJc w:val="left"/>
      <w:pPr>
        <w:tabs>
          <w:tab w:val="num" w:pos="1134"/>
        </w:tabs>
        <w:ind w:left="1134" w:hanging="567"/>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32A618D"/>
    <w:multiLevelType w:val="hybridMultilevel"/>
    <w:tmpl w:val="7B8887A4"/>
    <w:lvl w:ilvl="0" w:tplc="CE9239F4">
      <w:start w:val="1"/>
      <w:numFmt w:val="lowerRoman"/>
      <w:pStyle w:val="Para3"/>
      <w:lvlText w:val="%1"/>
      <w:lvlJc w:val="left"/>
      <w:pPr>
        <w:tabs>
          <w:tab w:val="num" w:pos="1135"/>
        </w:tabs>
        <w:ind w:left="1135" w:hanging="567"/>
      </w:pPr>
      <w:rPr>
        <w:rFonts w:hint="default"/>
      </w:rPr>
    </w:lvl>
    <w:lvl w:ilvl="1" w:tplc="04090019" w:tentative="1">
      <w:start w:val="1"/>
      <w:numFmt w:val="lowerLetter"/>
      <w:lvlText w:val="%2."/>
      <w:lvlJc w:val="left"/>
      <w:pPr>
        <w:tabs>
          <w:tab w:val="num" w:pos="307"/>
        </w:tabs>
        <w:ind w:left="307" w:hanging="360"/>
      </w:pPr>
    </w:lvl>
    <w:lvl w:ilvl="2" w:tplc="0409001B" w:tentative="1">
      <w:start w:val="1"/>
      <w:numFmt w:val="lowerRoman"/>
      <w:lvlText w:val="%3."/>
      <w:lvlJc w:val="right"/>
      <w:pPr>
        <w:tabs>
          <w:tab w:val="num" w:pos="1027"/>
        </w:tabs>
        <w:ind w:left="1027" w:hanging="180"/>
      </w:pPr>
    </w:lvl>
    <w:lvl w:ilvl="3" w:tplc="0409000F" w:tentative="1">
      <w:start w:val="1"/>
      <w:numFmt w:val="decimal"/>
      <w:lvlText w:val="%4."/>
      <w:lvlJc w:val="left"/>
      <w:pPr>
        <w:tabs>
          <w:tab w:val="num" w:pos="1747"/>
        </w:tabs>
        <w:ind w:left="1747" w:hanging="360"/>
      </w:pPr>
    </w:lvl>
    <w:lvl w:ilvl="4" w:tplc="04090019" w:tentative="1">
      <w:start w:val="1"/>
      <w:numFmt w:val="lowerLetter"/>
      <w:lvlText w:val="%5."/>
      <w:lvlJc w:val="left"/>
      <w:pPr>
        <w:tabs>
          <w:tab w:val="num" w:pos="2467"/>
        </w:tabs>
        <w:ind w:left="2467" w:hanging="360"/>
      </w:pPr>
    </w:lvl>
    <w:lvl w:ilvl="5" w:tplc="0409001B" w:tentative="1">
      <w:start w:val="1"/>
      <w:numFmt w:val="lowerRoman"/>
      <w:lvlText w:val="%6."/>
      <w:lvlJc w:val="right"/>
      <w:pPr>
        <w:tabs>
          <w:tab w:val="num" w:pos="3187"/>
        </w:tabs>
        <w:ind w:left="3187" w:hanging="180"/>
      </w:pPr>
    </w:lvl>
    <w:lvl w:ilvl="6" w:tplc="0409000F" w:tentative="1">
      <w:start w:val="1"/>
      <w:numFmt w:val="decimal"/>
      <w:lvlText w:val="%7."/>
      <w:lvlJc w:val="left"/>
      <w:pPr>
        <w:tabs>
          <w:tab w:val="num" w:pos="3907"/>
        </w:tabs>
        <w:ind w:left="3907" w:hanging="360"/>
      </w:pPr>
    </w:lvl>
    <w:lvl w:ilvl="7" w:tplc="04090019" w:tentative="1">
      <w:start w:val="1"/>
      <w:numFmt w:val="lowerLetter"/>
      <w:lvlText w:val="%8."/>
      <w:lvlJc w:val="left"/>
      <w:pPr>
        <w:tabs>
          <w:tab w:val="num" w:pos="4627"/>
        </w:tabs>
        <w:ind w:left="4627" w:hanging="360"/>
      </w:pPr>
    </w:lvl>
    <w:lvl w:ilvl="8" w:tplc="0409001B" w:tentative="1">
      <w:start w:val="1"/>
      <w:numFmt w:val="lowerRoman"/>
      <w:lvlText w:val="%9."/>
      <w:lvlJc w:val="right"/>
      <w:pPr>
        <w:tabs>
          <w:tab w:val="num" w:pos="5347"/>
        </w:tabs>
        <w:ind w:left="5347" w:hanging="180"/>
      </w:pPr>
    </w:lvl>
  </w:abstractNum>
  <w:abstractNum w:abstractNumId="5" w15:restartNumberingAfterBreak="0">
    <w:nsid w:val="15341DF6"/>
    <w:multiLevelType w:val="multilevel"/>
    <w:tmpl w:val="0C09001D"/>
    <w:styleLink w:val="Style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25741BE8"/>
    <w:multiLevelType w:val="hybridMultilevel"/>
    <w:tmpl w:val="B6F41E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AC456CB"/>
    <w:multiLevelType w:val="multilevel"/>
    <w:tmpl w:val="1DD82E34"/>
    <w:lvl w:ilvl="0">
      <w:start w:val="1"/>
      <w:numFmt w:val="decimal"/>
      <w:pStyle w:val="Condition2"/>
      <w:lvlText w:val="%1"/>
      <w:lvlJc w:val="left"/>
      <w:pPr>
        <w:ind w:left="567" w:hanging="567"/>
      </w:pPr>
      <w:rPr>
        <w:rFonts w:hint="default"/>
      </w:rPr>
    </w:lvl>
    <w:lvl w:ilvl="1">
      <w:start w:val="1"/>
      <w:numFmt w:val="lowerLetter"/>
      <w:lvlText w:val="(%2)"/>
      <w:lvlJc w:val="left"/>
      <w:pPr>
        <w:ind w:left="1134" w:hanging="567"/>
      </w:pPr>
      <w:rPr>
        <w:rFonts w:hint="default"/>
      </w:rPr>
    </w:lvl>
    <w:lvl w:ilvl="2">
      <w:start w:val="1"/>
      <w:numFmt w:val="lowerRoman"/>
      <w:lvlText w:val="%3"/>
      <w:lvlJc w:val="left"/>
      <w:pPr>
        <w:tabs>
          <w:tab w:val="num" w:pos="1134"/>
        </w:tabs>
        <w:ind w:left="1701" w:hanging="567"/>
      </w:pPr>
      <w:rPr>
        <w:rFonts w:hint="default"/>
      </w:rPr>
    </w:lvl>
    <w:lvl w:ilvl="3">
      <w:start w:val="1"/>
      <w:numFmt w:val="decimal"/>
      <w:lvlText w:val="(%4)"/>
      <w:lvlJc w:val="left"/>
      <w:pPr>
        <w:ind w:left="2268" w:hanging="567"/>
      </w:pPr>
      <w:rPr>
        <w:rFonts w:hint="default"/>
        <w:sz w:val="2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31A301F8"/>
    <w:multiLevelType w:val="hybridMultilevel"/>
    <w:tmpl w:val="81B0A810"/>
    <w:lvl w:ilvl="0" w:tplc="B338F3B0">
      <w:start w:val="1"/>
      <w:numFmt w:val="bullet"/>
      <w:pStyle w:val="Para5"/>
      <w:lvlText w:val=""/>
      <w:lvlJc w:val="left"/>
      <w:pPr>
        <w:tabs>
          <w:tab w:val="num" w:pos="1134"/>
        </w:tabs>
        <w:ind w:left="1134"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3474812"/>
    <w:multiLevelType w:val="multilevel"/>
    <w:tmpl w:val="8D2094BC"/>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bullet"/>
      <w:lvlText w:val=""/>
      <w:lvlJc w:val="left"/>
      <w:pPr>
        <w:tabs>
          <w:tab w:val="num" w:pos="2268"/>
        </w:tabs>
        <w:ind w:left="2268" w:hanging="567"/>
      </w:pPr>
      <w:rPr>
        <w:rFonts w:ascii="Wingdings" w:hAnsi="Wingding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6D7864F7"/>
    <w:multiLevelType w:val="hybridMultilevel"/>
    <w:tmpl w:val="4DD8D500"/>
    <w:lvl w:ilvl="0" w:tplc="98A212C8">
      <w:numFmt w:val="bullet"/>
      <w:pStyle w:val="Quote3"/>
      <w:lvlText w:val=""/>
      <w:lvlJc w:val="left"/>
      <w:pPr>
        <w:tabs>
          <w:tab w:val="num" w:pos="1701"/>
        </w:tabs>
        <w:ind w:left="1701" w:hanging="567"/>
      </w:pPr>
      <w:rPr>
        <w:rFonts w:ascii="Symbol" w:eastAsia="Times New Roman" w:hAnsi="Symbol" w:cs="Times New Roman"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8"/>
  </w:num>
  <w:num w:numId="4">
    <w:abstractNumId w:val="10"/>
  </w:num>
  <w:num w:numId="5">
    <w:abstractNumId w:val="4"/>
  </w:num>
  <w:num w:numId="6">
    <w:abstractNumId w:val="5"/>
  </w:num>
  <w:num w:numId="7">
    <w:abstractNumId w:val="7"/>
  </w:num>
  <w:num w:numId="8">
    <w:abstractNumId w:val="1"/>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0"/>
  </w:num>
  <w:num w:numId="12">
    <w:abstractNumId w:val="9"/>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cumentProtection w:edit="readOnly" w:enforcement="1" w:cryptProviderType="rsaAES" w:cryptAlgorithmClass="hash" w:cryptAlgorithmType="typeAny" w:cryptAlgorithmSid="14" w:cryptSpinCount="100000" w:hash="ZmHp37oc3Y1l3Yu0ZVdJ6yy+wzcpDg0P/qBNfNS+wzArjLGNCvp3UL1BZwYf2vXJVIHuA/0sRyxMTw8Ht3nU0A==" w:salt="6nS9HldlH3k3L3yoNy3P6Q=="/>
  <w:defaultTabStop w:val="567"/>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86D02904-7A06-496F-B658-DE42B2077465}"/>
    <w:docVar w:name="dgnword-eventsink" w:val="313779200"/>
    <w:docVar w:name="VCAT Seal" w:val="True"/>
  </w:docVars>
  <w:rsids>
    <w:rsidRoot w:val="00645DCE"/>
    <w:rsid w:val="000003F2"/>
    <w:rsid w:val="0001113F"/>
    <w:rsid w:val="00027F01"/>
    <w:rsid w:val="00057004"/>
    <w:rsid w:val="00061FEB"/>
    <w:rsid w:val="00062780"/>
    <w:rsid w:val="00063C31"/>
    <w:rsid w:val="000766E0"/>
    <w:rsid w:val="000854CC"/>
    <w:rsid w:val="000945F9"/>
    <w:rsid w:val="00094A20"/>
    <w:rsid w:val="000B65A8"/>
    <w:rsid w:val="000D4207"/>
    <w:rsid w:val="000D4E49"/>
    <w:rsid w:val="000F4E28"/>
    <w:rsid w:val="00124C1E"/>
    <w:rsid w:val="001276D6"/>
    <w:rsid w:val="00152541"/>
    <w:rsid w:val="001567AE"/>
    <w:rsid w:val="0016093F"/>
    <w:rsid w:val="00163377"/>
    <w:rsid w:val="00167876"/>
    <w:rsid w:val="001708C4"/>
    <w:rsid w:val="0018330C"/>
    <w:rsid w:val="001A6E1F"/>
    <w:rsid w:val="001D63A4"/>
    <w:rsid w:val="001E49C7"/>
    <w:rsid w:val="001F2D3D"/>
    <w:rsid w:val="00223FB4"/>
    <w:rsid w:val="0023472F"/>
    <w:rsid w:val="00244279"/>
    <w:rsid w:val="00247108"/>
    <w:rsid w:val="002563BE"/>
    <w:rsid w:val="00275B01"/>
    <w:rsid w:val="0028144B"/>
    <w:rsid w:val="0028244B"/>
    <w:rsid w:val="00290F9B"/>
    <w:rsid w:val="00293A03"/>
    <w:rsid w:val="002A47E1"/>
    <w:rsid w:val="002A52E0"/>
    <w:rsid w:val="002B7051"/>
    <w:rsid w:val="002D05B6"/>
    <w:rsid w:val="002F27B5"/>
    <w:rsid w:val="00312D8A"/>
    <w:rsid w:val="0031301B"/>
    <w:rsid w:val="0032102D"/>
    <w:rsid w:val="00322661"/>
    <w:rsid w:val="0034213D"/>
    <w:rsid w:val="00356211"/>
    <w:rsid w:val="00361273"/>
    <w:rsid w:val="00361E5C"/>
    <w:rsid w:val="00361EF0"/>
    <w:rsid w:val="003813E9"/>
    <w:rsid w:val="003B5E75"/>
    <w:rsid w:val="003D546E"/>
    <w:rsid w:val="003D7278"/>
    <w:rsid w:val="003E11C8"/>
    <w:rsid w:val="003E5FC0"/>
    <w:rsid w:val="00434BAA"/>
    <w:rsid w:val="00467B86"/>
    <w:rsid w:val="00477574"/>
    <w:rsid w:val="004908EE"/>
    <w:rsid w:val="004919B5"/>
    <w:rsid w:val="00495762"/>
    <w:rsid w:val="004959A5"/>
    <w:rsid w:val="004A201D"/>
    <w:rsid w:val="004B3605"/>
    <w:rsid w:val="004D0391"/>
    <w:rsid w:val="004D0615"/>
    <w:rsid w:val="004D1D66"/>
    <w:rsid w:val="004D2122"/>
    <w:rsid w:val="004F54C1"/>
    <w:rsid w:val="004F627F"/>
    <w:rsid w:val="00507771"/>
    <w:rsid w:val="00510802"/>
    <w:rsid w:val="00555296"/>
    <w:rsid w:val="005742A7"/>
    <w:rsid w:val="0058084D"/>
    <w:rsid w:val="0059145F"/>
    <w:rsid w:val="005B3D5D"/>
    <w:rsid w:val="005D408F"/>
    <w:rsid w:val="005D4C32"/>
    <w:rsid w:val="005D6C47"/>
    <w:rsid w:val="005D77CE"/>
    <w:rsid w:val="005E1511"/>
    <w:rsid w:val="005E2D20"/>
    <w:rsid w:val="005E4824"/>
    <w:rsid w:val="005F6FDD"/>
    <w:rsid w:val="00604881"/>
    <w:rsid w:val="00610FEB"/>
    <w:rsid w:val="00645DCE"/>
    <w:rsid w:val="00647F43"/>
    <w:rsid w:val="0065338E"/>
    <w:rsid w:val="006628EE"/>
    <w:rsid w:val="00680AFF"/>
    <w:rsid w:val="00682C14"/>
    <w:rsid w:val="00684058"/>
    <w:rsid w:val="00697776"/>
    <w:rsid w:val="006C7549"/>
    <w:rsid w:val="006E6B11"/>
    <w:rsid w:val="006E7914"/>
    <w:rsid w:val="00705098"/>
    <w:rsid w:val="00725495"/>
    <w:rsid w:val="00726365"/>
    <w:rsid w:val="007301D6"/>
    <w:rsid w:val="00745E58"/>
    <w:rsid w:val="00754025"/>
    <w:rsid w:val="00763504"/>
    <w:rsid w:val="00764EDD"/>
    <w:rsid w:val="00776999"/>
    <w:rsid w:val="00780572"/>
    <w:rsid w:val="00784DD5"/>
    <w:rsid w:val="0079593A"/>
    <w:rsid w:val="00796305"/>
    <w:rsid w:val="007D487A"/>
    <w:rsid w:val="007F601B"/>
    <w:rsid w:val="007F77A1"/>
    <w:rsid w:val="00802C24"/>
    <w:rsid w:val="008128BB"/>
    <w:rsid w:val="00812BED"/>
    <w:rsid w:val="00812EEA"/>
    <w:rsid w:val="008265B7"/>
    <w:rsid w:val="00830459"/>
    <w:rsid w:val="0084488B"/>
    <w:rsid w:val="0084497D"/>
    <w:rsid w:val="008602F8"/>
    <w:rsid w:val="008A247D"/>
    <w:rsid w:val="008A46EC"/>
    <w:rsid w:val="008A5793"/>
    <w:rsid w:val="008B4936"/>
    <w:rsid w:val="008B7EB8"/>
    <w:rsid w:val="008C1674"/>
    <w:rsid w:val="00924205"/>
    <w:rsid w:val="00926A96"/>
    <w:rsid w:val="00932AF9"/>
    <w:rsid w:val="0094148C"/>
    <w:rsid w:val="00947EF5"/>
    <w:rsid w:val="00956463"/>
    <w:rsid w:val="009804A9"/>
    <w:rsid w:val="00993294"/>
    <w:rsid w:val="009C06C7"/>
    <w:rsid w:val="009D0685"/>
    <w:rsid w:val="009F658E"/>
    <w:rsid w:val="00A150D3"/>
    <w:rsid w:val="00A30D6A"/>
    <w:rsid w:val="00A35800"/>
    <w:rsid w:val="00A41D6E"/>
    <w:rsid w:val="00A53783"/>
    <w:rsid w:val="00A629D6"/>
    <w:rsid w:val="00AA587E"/>
    <w:rsid w:val="00AA7EAD"/>
    <w:rsid w:val="00AB29FA"/>
    <w:rsid w:val="00AB5E1D"/>
    <w:rsid w:val="00AD32E7"/>
    <w:rsid w:val="00AD75EF"/>
    <w:rsid w:val="00B01DC8"/>
    <w:rsid w:val="00B134F7"/>
    <w:rsid w:val="00B160AF"/>
    <w:rsid w:val="00B24B9B"/>
    <w:rsid w:val="00B30FB4"/>
    <w:rsid w:val="00B355D6"/>
    <w:rsid w:val="00B36ACB"/>
    <w:rsid w:val="00B371E4"/>
    <w:rsid w:val="00B876A2"/>
    <w:rsid w:val="00BA1951"/>
    <w:rsid w:val="00BB7851"/>
    <w:rsid w:val="00BC219D"/>
    <w:rsid w:val="00BC72AF"/>
    <w:rsid w:val="00C10388"/>
    <w:rsid w:val="00C1567D"/>
    <w:rsid w:val="00C17036"/>
    <w:rsid w:val="00C26EBF"/>
    <w:rsid w:val="00C71BA3"/>
    <w:rsid w:val="00C7408F"/>
    <w:rsid w:val="00C963CC"/>
    <w:rsid w:val="00CA2144"/>
    <w:rsid w:val="00CA2642"/>
    <w:rsid w:val="00CC19B1"/>
    <w:rsid w:val="00CC60A6"/>
    <w:rsid w:val="00CC6FF1"/>
    <w:rsid w:val="00CD1F2A"/>
    <w:rsid w:val="00CE2838"/>
    <w:rsid w:val="00D0168C"/>
    <w:rsid w:val="00D03F21"/>
    <w:rsid w:val="00D13BA6"/>
    <w:rsid w:val="00D14A42"/>
    <w:rsid w:val="00D23389"/>
    <w:rsid w:val="00D243EA"/>
    <w:rsid w:val="00D24AFE"/>
    <w:rsid w:val="00D24B15"/>
    <w:rsid w:val="00D6081F"/>
    <w:rsid w:val="00D616BA"/>
    <w:rsid w:val="00D64683"/>
    <w:rsid w:val="00D64D3E"/>
    <w:rsid w:val="00D931CC"/>
    <w:rsid w:val="00DA7FAD"/>
    <w:rsid w:val="00DC7C16"/>
    <w:rsid w:val="00DD240D"/>
    <w:rsid w:val="00E002C5"/>
    <w:rsid w:val="00E200CF"/>
    <w:rsid w:val="00E22A2C"/>
    <w:rsid w:val="00E27229"/>
    <w:rsid w:val="00E3644F"/>
    <w:rsid w:val="00E60197"/>
    <w:rsid w:val="00E62037"/>
    <w:rsid w:val="00E75ED1"/>
    <w:rsid w:val="00EA5010"/>
    <w:rsid w:val="00EA5975"/>
    <w:rsid w:val="00EA75EE"/>
    <w:rsid w:val="00ED56ED"/>
    <w:rsid w:val="00EE5E8E"/>
    <w:rsid w:val="00EE6762"/>
    <w:rsid w:val="00EF77D1"/>
    <w:rsid w:val="00F02A1F"/>
    <w:rsid w:val="00F338E1"/>
    <w:rsid w:val="00F50610"/>
    <w:rsid w:val="00F55C68"/>
    <w:rsid w:val="00F60617"/>
    <w:rsid w:val="00F773CF"/>
    <w:rsid w:val="00F9058C"/>
    <w:rsid w:val="00F94FD0"/>
    <w:rsid w:val="00FA3475"/>
    <w:rsid w:val="00FC048E"/>
    <w:rsid w:val="00FD256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9F7179D"/>
  <w15:chartTrackingRefBased/>
  <w15:docId w15:val="{5482FDDC-A497-40E9-B5A9-F370BB604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4881"/>
    <w:rPr>
      <w:sz w:val="26"/>
      <w:szCs w:val="26"/>
      <w:lang w:eastAsia="en-US"/>
    </w:rPr>
  </w:style>
  <w:style w:type="paragraph" w:styleId="Heading1">
    <w:name w:val="heading 1"/>
    <w:basedOn w:val="Normal"/>
    <w:next w:val="Para1"/>
    <w:link w:val="Heading1Char"/>
    <w:qFormat/>
    <w:pPr>
      <w:keepNext/>
      <w:spacing w:before="240" w:after="120"/>
      <w:jc w:val="center"/>
      <w:outlineLvl w:val="0"/>
    </w:pPr>
    <w:rPr>
      <w:rFonts w:ascii="Arial" w:hAnsi="Arial"/>
      <w:b/>
      <w:bCs/>
      <w:caps/>
      <w:sz w:val="24"/>
      <w:szCs w:val="24"/>
    </w:rPr>
  </w:style>
  <w:style w:type="paragraph" w:styleId="Heading2">
    <w:name w:val="heading 2"/>
    <w:basedOn w:val="Heading1"/>
    <w:next w:val="Para1"/>
    <w:link w:val="Heading2Char"/>
    <w:qFormat/>
    <w:pPr>
      <w:jc w:val="left"/>
      <w:outlineLvl w:val="1"/>
    </w:pPr>
    <w:rPr>
      <w:bCs w:val="0"/>
      <w:iCs/>
    </w:rPr>
  </w:style>
  <w:style w:type="paragraph" w:styleId="Heading3">
    <w:name w:val="heading 3"/>
    <w:basedOn w:val="Heading2"/>
    <w:next w:val="Para1"/>
    <w:link w:val="Heading3Char"/>
    <w:qFormat/>
    <w:pPr>
      <w:outlineLvl w:val="2"/>
    </w:pPr>
    <w:rPr>
      <w:bCs/>
      <w:caps w:val="0"/>
    </w:rPr>
  </w:style>
  <w:style w:type="paragraph" w:styleId="Heading4">
    <w:name w:val="heading 4"/>
    <w:basedOn w:val="Heading3"/>
    <w:next w:val="Normal"/>
    <w:qFormat/>
    <w:pPr>
      <w:outlineLvl w:val="3"/>
    </w:pPr>
    <w:rPr>
      <w:b w:val="0"/>
      <w:bCs w:val="0"/>
      <w:szCs w:val="28"/>
      <w:u w:val="single"/>
    </w:rPr>
  </w:style>
  <w:style w:type="paragraph" w:styleId="Heading5">
    <w:name w:val="heading 5"/>
    <w:basedOn w:val="Heading4"/>
    <w:next w:val="Para1"/>
    <w:link w:val="Heading5Char"/>
    <w:qFormat/>
    <w:rsid w:val="001708C4"/>
    <w:pPr>
      <w:outlineLvl w:val="4"/>
    </w:pPr>
    <w:rPr>
      <w:bCs/>
      <w:iCs w:val="0"/>
      <w:u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896"/>
        <w:tab w:val="right" w:pos="9792"/>
      </w:tabs>
      <w:spacing w:before="60"/>
    </w:pPr>
    <w:rPr>
      <w:rFonts w:ascii="Arial" w:hAnsi="Arial"/>
      <w:sz w:val="20"/>
      <w:szCs w:val="20"/>
    </w:rPr>
  </w:style>
  <w:style w:type="paragraph" w:customStyle="1" w:styleId="Para1">
    <w:name w:val="Para 1"/>
    <w:basedOn w:val="Normal"/>
    <w:link w:val="Para1CharChar"/>
    <w:qFormat/>
    <w:pPr>
      <w:numPr>
        <w:numId w:val="2"/>
      </w:numPr>
      <w:spacing w:after="120" w:line="300" w:lineRule="atLeast"/>
    </w:pPr>
  </w:style>
  <w:style w:type="paragraph" w:customStyle="1" w:styleId="Para2">
    <w:name w:val="Para 2"/>
    <w:basedOn w:val="Para1"/>
    <w:qFormat/>
    <w:pPr>
      <w:numPr>
        <w:numId w:val="0"/>
      </w:numPr>
      <w:ind w:left="567"/>
    </w:pPr>
  </w:style>
  <w:style w:type="paragraph" w:customStyle="1" w:styleId="Catchwords">
    <w:name w:val="Catchwords"/>
    <w:basedOn w:val="Normal"/>
    <w:pPr>
      <w:spacing w:before="100" w:after="100"/>
      <w:jc w:val="both"/>
    </w:pPr>
    <w:rPr>
      <w:sz w:val="20"/>
    </w:rPr>
  </w:style>
  <w:style w:type="paragraph" w:customStyle="1" w:styleId="Quote1">
    <w:name w:val="Quote 1"/>
    <w:basedOn w:val="Normal"/>
    <w:qFormat/>
    <w:pPr>
      <w:spacing w:after="120"/>
      <w:ind w:left="1134" w:right="567"/>
    </w:pPr>
    <w:rPr>
      <w:sz w:val="24"/>
      <w:szCs w:val="24"/>
    </w:rPr>
  </w:style>
  <w:style w:type="paragraph" w:customStyle="1" w:styleId="Quote2">
    <w:name w:val="Quote 2"/>
    <w:basedOn w:val="Quote1"/>
    <w:qFormat/>
    <w:pPr>
      <w:ind w:left="1701" w:hanging="567"/>
    </w:pPr>
  </w:style>
  <w:style w:type="paragraph" w:customStyle="1" w:styleId="Para5">
    <w:name w:val="Para 5"/>
    <w:basedOn w:val="Para2"/>
    <w:qFormat/>
    <w:pPr>
      <w:numPr>
        <w:numId w:val="3"/>
      </w:numPr>
    </w:pPr>
  </w:style>
  <w:style w:type="paragraph" w:customStyle="1" w:styleId="Para4">
    <w:name w:val="Para 4"/>
    <w:basedOn w:val="Para2"/>
    <w:qFormat/>
    <w:pPr>
      <w:numPr>
        <w:numId w:val="1"/>
      </w:numPr>
    </w:pPr>
  </w:style>
  <w:style w:type="paragraph" w:customStyle="1" w:styleId="TitlePage1">
    <w:name w:val="Title Page 1"/>
    <w:basedOn w:val="Normal"/>
    <w:next w:val="Normal"/>
    <w:qFormat/>
    <w:pPr>
      <w:spacing w:after="240"/>
    </w:pPr>
    <w:rPr>
      <w:rFonts w:ascii="Arial" w:hAnsi="Arial"/>
      <w:b/>
      <w:caps/>
      <w:sz w:val="24"/>
      <w:szCs w:val="24"/>
    </w:rPr>
  </w:style>
  <w:style w:type="paragraph" w:customStyle="1" w:styleId="TitlePage2">
    <w:name w:val="Title Page 2"/>
    <w:basedOn w:val="TitlePage1"/>
    <w:next w:val="Normal"/>
    <w:qFormat/>
    <w:pPr>
      <w:spacing w:before="120" w:after="80"/>
    </w:pPr>
  </w:style>
  <w:style w:type="paragraph" w:customStyle="1" w:styleId="TitlePagetext">
    <w:name w:val="Title Page text"/>
    <w:basedOn w:val="Normal"/>
    <w:qFormat/>
    <w:pPr>
      <w:spacing w:before="80" w:after="100"/>
    </w:pPr>
  </w:style>
  <w:style w:type="paragraph" w:styleId="Header">
    <w:name w:val="header"/>
    <w:basedOn w:val="Normal"/>
    <w:pPr>
      <w:tabs>
        <w:tab w:val="center" w:pos="4320"/>
        <w:tab w:val="right" w:pos="8640"/>
      </w:tabs>
    </w:pPr>
  </w:style>
  <w:style w:type="paragraph" w:styleId="FootnoteText">
    <w:name w:val="footnote text"/>
    <w:basedOn w:val="Normal"/>
    <w:link w:val="FootnoteTextChar"/>
    <w:semiHidden/>
    <w:pPr>
      <w:ind w:left="567" w:hanging="567"/>
    </w:pPr>
    <w:rPr>
      <w:sz w:val="20"/>
      <w:szCs w:val="20"/>
    </w:rPr>
  </w:style>
  <w:style w:type="character" w:styleId="FootnoteReference">
    <w:name w:val="footnote reference"/>
    <w:semiHidden/>
    <w:rPr>
      <w:vertAlign w:val="superscript"/>
    </w:rPr>
  </w:style>
  <w:style w:type="paragraph" w:customStyle="1" w:styleId="Order1">
    <w:name w:val="Order 1"/>
    <w:basedOn w:val="Normal"/>
    <w:qFormat/>
    <w:rsid w:val="00926A96"/>
    <w:pPr>
      <w:spacing w:after="120" w:line="300" w:lineRule="atLeast"/>
    </w:pPr>
  </w:style>
  <w:style w:type="paragraph" w:customStyle="1" w:styleId="Order2">
    <w:name w:val="Order 2"/>
    <w:basedOn w:val="Order1"/>
    <w:qFormat/>
    <w:rsid w:val="0034213D"/>
    <w:pPr>
      <w:numPr>
        <w:numId w:val="8"/>
      </w:numPr>
    </w:pPr>
  </w:style>
  <w:style w:type="paragraph" w:customStyle="1" w:styleId="Para3">
    <w:name w:val="Para 3"/>
    <w:basedOn w:val="Para2"/>
    <w:qFormat/>
    <w:rsid w:val="008128BB"/>
    <w:pPr>
      <w:numPr>
        <w:numId w:val="5"/>
      </w:numPr>
    </w:pPr>
  </w:style>
  <w:style w:type="paragraph" w:customStyle="1" w:styleId="Heading6figures">
    <w:name w:val="Heading 6 figures"/>
    <w:basedOn w:val="Normal"/>
    <w:next w:val="Para1"/>
    <w:qFormat/>
    <w:rsid w:val="0016093F"/>
    <w:pPr>
      <w:spacing w:before="120" w:after="120"/>
      <w:jc w:val="center"/>
      <w:outlineLvl w:val="5"/>
    </w:pPr>
    <w:rPr>
      <w:rFonts w:ascii="Arial" w:hAnsi="Arial" w:cs="Arial"/>
      <w:sz w:val="20"/>
      <w:szCs w:val="20"/>
    </w:rPr>
  </w:style>
  <w:style w:type="paragraph" w:customStyle="1" w:styleId="Quote3">
    <w:name w:val="Quote 3"/>
    <w:basedOn w:val="Quote2"/>
    <w:qFormat/>
    <w:pPr>
      <w:numPr>
        <w:numId w:val="4"/>
      </w:numPr>
    </w:pPr>
  </w:style>
  <w:style w:type="paragraph" w:customStyle="1" w:styleId="TitlePage3">
    <w:name w:val="Title Page 3"/>
    <w:basedOn w:val="TitlePage2"/>
    <w:qFormat/>
    <w:pPr>
      <w:spacing w:before="20" w:after="0"/>
      <w:jc w:val="right"/>
    </w:pPr>
    <w:rPr>
      <w:b w:val="0"/>
      <w:sz w:val="16"/>
    </w:rPr>
  </w:style>
  <w:style w:type="paragraph" w:customStyle="1" w:styleId="FigureTitle">
    <w:name w:val="Figure Title"/>
    <w:basedOn w:val="Heading5"/>
    <w:qFormat/>
    <w:rsid w:val="00DC7C16"/>
    <w:pPr>
      <w:jc w:val="center"/>
    </w:pPr>
    <w:rPr>
      <w:sz w:val="22"/>
      <w:szCs w:val="22"/>
    </w:rPr>
  </w:style>
  <w:style w:type="paragraph" w:customStyle="1" w:styleId="Heading6para">
    <w:name w:val="Heading 6 para"/>
    <w:basedOn w:val="Heading6figures"/>
    <w:next w:val="Para1"/>
    <w:qFormat/>
    <w:rsid w:val="008A46EC"/>
    <w:pPr>
      <w:ind w:left="567"/>
      <w:jc w:val="left"/>
    </w:pPr>
    <w:rPr>
      <w:sz w:val="24"/>
      <w:szCs w:val="24"/>
    </w:rPr>
  </w:style>
  <w:style w:type="character" w:customStyle="1" w:styleId="Heading5Char">
    <w:name w:val="Heading 5 Char"/>
    <w:link w:val="Heading5"/>
    <w:rsid w:val="001708C4"/>
    <w:rPr>
      <w:rFonts w:ascii="Arial" w:hAnsi="Arial"/>
      <w:bCs/>
      <w:sz w:val="24"/>
      <w:szCs w:val="28"/>
      <w:lang w:eastAsia="en-US"/>
    </w:rPr>
  </w:style>
  <w:style w:type="character" w:customStyle="1" w:styleId="Heading1Char">
    <w:name w:val="Heading 1 Char"/>
    <w:link w:val="Heading1"/>
    <w:rsid w:val="00124C1E"/>
    <w:rPr>
      <w:rFonts w:ascii="Arial" w:hAnsi="Arial"/>
      <w:b/>
      <w:bCs/>
      <w:caps/>
      <w:sz w:val="24"/>
      <w:szCs w:val="24"/>
      <w:lang w:eastAsia="en-US"/>
    </w:rPr>
  </w:style>
  <w:style w:type="character" w:customStyle="1" w:styleId="Heading2Char">
    <w:name w:val="Heading 2 Char"/>
    <w:link w:val="Heading2"/>
    <w:rsid w:val="002A52E0"/>
    <w:rPr>
      <w:rFonts w:ascii="Arial" w:hAnsi="Arial"/>
      <w:b/>
      <w:iCs/>
      <w:caps/>
      <w:sz w:val="24"/>
      <w:szCs w:val="24"/>
      <w:lang w:eastAsia="en-US"/>
    </w:rPr>
  </w:style>
  <w:style w:type="character" w:customStyle="1" w:styleId="FootnoteTextChar">
    <w:name w:val="Footnote Text Char"/>
    <w:link w:val="FootnoteText"/>
    <w:semiHidden/>
    <w:rsid w:val="0079593A"/>
    <w:rPr>
      <w:lang w:eastAsia="en-US"/>
    </w:rPr>
  </w:style>
  <w:style w:type="table" w:styleId="TableGrid">
    <w:name w:val="Table Grid"/>
    <w:basedOn w:val="TableNormal"/>
    <w:uiPriority w:val="59"/>
    <w:rsid w:val="002A52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813E9"/>
    <w:rPr>
      <w:rFonts w:ascii="Segoe UI" w:hAnsi="Segoe UI" w:cs="Segoe UI"/>
      <w:sz w:val="18"/>
      <w:szCs w:val="18"/>
    </w:rPr>
  </w:style>
  <w:style w:type="character" w:customStyle="1" w:styleId="BalloonTextChar">
    <w:name w:val="Balloon Text Char"/>
    <w:link w:val="BalloonText"/>
    <w:uiPriority w:val="99"/>
    <w:semiHidden/>
    <w:rsid w:val="003813E9"/>
    <w:rPr>
      <w:rFonts w:ascii="Segoe UI" w:hAnsi="Segoe UI" w:cs="Segoe UI"/>
      <w:sz w:val="18"/>
      <w:szCs w:val="18"/>
      <w:lang w:eastAsia="en-US"/>
    </w:rPr>
  </w:style>
  <w:style w:type="character" w:customStyle="1" w:styleId="Heading3Char">
    <w:name w:val="Heading 3 Char"/>
    <w:link w:val="Heading3"/>
    <w:rsid w:val="00F55C68"/>
    <w:rPr>
      <w:rFonts w:ascii="Arial" w:hAnsi="Arial"/>
      <w:b/>
      <w:bCs/>
      <w:iCs/>
      <w:sz w:val="24"/>
      <w:szCs w:val="24"/>
      <w:lang w:eastAsia="en-US"/>
    </w:rPr>
  </w:style>
  <w:style w:type="paragraph" w:customStyle="1" w:styleId="Condition1">
    <w:name w:val="Condition 1"/>
    <w:basedOn w:val="Normal"/>
    <w:qFormat/>
    <w:rsid w:val="00763504"/>
    <w:pPr>
      <w:spacing w:after="120" w:line="300" w:lineRule="atLeast"/>
    </w:pPr>
  </w:style>
  <w:style w:type="numbering" w:customStyle="1" w:styleId="Style1">
    <w:name w:val="Style1"/>
    <w:uiPriority w:val="99"/>
    <w:rsid w:val="000945F9"/>
    <w:pPr>
      <w:numPr>
        <w:numId w:val="6"/>
      </w:numPr>
    </w:pPr>
  </w:style>
  <w:style w:type="paragraph" w:customStyle="1" w:styleId="Condition2">
    <w:name w:val="Condition 2"/>
    <w:basedOn w:val="Condition1"/>
    <w:qFormat/>
    <w:rsid w:val="00812EEA"/>
    <w:pPr>
      <w:numPr>
        <w:numId w:val="7"/>
      </w:numPr>
    </w:pPr>
  </w:style>
  <w:style w:type="paragraph" w:customStyle="1" w:styleId="Condition3">
    <w:name w:val="Condition 3"/>
    <w:basedOn w:val="Condition1"/>
    <w:qFormat/>
    <w:rsid w:val="00812EEA"/>
    <w:pPr>
      <w:ind w:left="567"/>
    </w:pPr>
  </w:style>
  <w:style w:type="paragraph" w:customStyle="1" w:styleId="Order3">
    <w:name w:val="Order 3"/>
    <w:basedOn w:val="Order1"/>
    <w:qFormat/>
    <w:rsid w:val="00EA5010"/>
    <w:pPr>
      <w:ind w:left="567"/>
    </w:pPr>
  </w:style>
  <w:style w:type="character" w:customStyle="1" w:styleId="Para1CharChar">
    <w:name w:val="Para 1 Char Char"/>
    <w:link w:val="Para1"/>
    <w:rsid w:val="00AB5E1D"/>
    <w:rPr>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433622">
      <w:bodyDiv w:val="1"/>
      <w:marLeft w:val="0"/>
      <w:marRight w:val="0"/>
      <w:marTop w:val="0"/>
      <w:marBottom w:val="0"/>
      <w:divBdr>
        <w:top w:val="none" w:sz="0" w:space="0" w:color="auto"/>
        <w:left w:val="none" w:sz="0" w:space="0" w:color="auto"/>
        <w:bottom w:val="none" w:sz="0" w:space="0" w:color="auto"/>
        <w:right w:val="none" w:sz="0" w:space="0" w:color="auto"/>
      </w:divBdr>
    </w:div>
    <w:div w:id="289482659">
      <w:bodyDiv w:val="1"/>
      <w:marLeft w:val="0"/>
      <w:marRight w:val="0"/>
      <w:marTop w:val="0"/>
      <w:marBottom w:val="0"/>
      <w:divBdr>
        <w:top w:val="none" w:sz="0" w:space="0" w:color="auto"/>
        <w:left w:val="none" w:sz="0" w:space="0" w:color="auto"/>
        <w:bottom w:val="none" w:sz="0" w:space="0" w:color="auto"/>
        <w:right w:val="none" w:sz="0" w:space="0" w:color="auto"/>
      </w:divBdr>
    </w:div>
    <w:div w:id="323054130">
      <w:bodyDiv w:val="1"/>
      <w:marLeft w:val="0"/>
      <w:marRight w:val="0"/>
      <w:marTop w:val="0"/>
      <w:marBottom w:val="0"/>
      <w:divBdr>
        <w:top w:val="none" w:sz="0" w:space="0" w:color="auto"/>
        <w:left w:val="none" w:sz="0" w:space="0" w:color="auto"/>
        <w:bottom w:val="none" w:sz="0" w:space="0" w:color="auto"/>
        <w:right w:val="none" w:sz="0" w:space="0" w:color="auto"/>
      </w:divBdr>
    </w:div>
    <w:div w:id="358622790">
      <w:bodyDiv w:val="1"/>
      <w:marLeft w:val="0"/>
      <w:marRight w:val="0"/>
      <w:marTop w:val="0"/>
      <w:marBottom w:val="0"/>
      <w:divBdr>
        <w:top w:val="none" w:sz="0" w:space="0" w:color="auto"/>
        <w:left w:val="none" w:sz="0" w:space="0" w:color="auto"/>
        <w:bottom w:val="none" w:sz="0" w:space="0" w:color="auto"/>
        <w:right w:val="none" w:sz="0" w:space="0" w:color="auto"/>
      </w:divBdr>
    </w:div>
    <w:div w:id="468595996">
      <w:bodyDiv w:val="1"/>
      <w:marLeft w:val="0"/>
      <w:marRight w:val="0"/>
      <w:marTop w:val="0"/>
      <w:marBottom w:val="0"/>
      <w:divBdr>
        <w:top w:val="none" w:sz="0" w:space="0" w:color="auto"/>
        <w:left w:val="none" w:sz="0" w:space="0" w:color="auto"/>
        <w:bottom w:val="none" w:sz="0" w:space="0" w:color="auto"/>
        <w:right w:val="none" w:sz="0" w:space="0" w:color="auto"/>
      </w:divBdr>
    </w:div>
    <w:div w:id="499931818">
      <w:bodyDiv w:val="1"/>
      <w:marLeft w:val="0"/>
      <w:marRight w:val="0"/>
      <w:marTop w:val="0"/>
      <w:marBottom w:val="0"/>
      <w:divBdr>
        <w:top w:val="none" w:sz="0" w:space="0" w:color="auto"/>
        <w:left w:val="none" w:sz="0" w:space="0" w:color="auto"/>
        <w:bottom w:val="none" w:sz="0" w:space="0" w:color="auto"/>
        <w:right w:val="none" w:sz="0" w:space="0" w:color="auto"/>
      </w:divBdr>
    </w:div>
    <w:div w:id="752513142">
      <w:bodyDiv w:val="1"/>
      <w:marLeft w:val="0"/>
      <w:marRight w:val="0"/>
      <w:marTop w:val="0"/>
      <w:marBottom w:val="0"/>
      <w:divBdr>
        <w:top w:val="none" w:sz="0" w:space="0" w:color="auto"/>
        <w:left w:val="none" w:sz="0" w:space="0" w:color="auto"/>
        <w:bottom w:val="none" w:sz="0" w:space="0" w:color="auto"/>
        <w:right w:val="none" w:sz="0" w:space="0" w:color="auto"/>
      </w:divBdr>
    </w:div>
    <w:div w:id="802500017">
      <w:bodyDiv w:val="1"/>
      <w:marLeft w:val="0"/>
      <w:marRight w:val="0"/>
      <w:marTop w:val="0"/>
      <w:marBottom w:val="0"/>
      <w:divBdr>
        <w:top w:val="none" w:sz="0" w:space="0" w:color="auto"/>
        <w:left w:val="none" w:sz="0" w:space="0" w:color="auto"/>
        <w:bottom w:val="none" w:sz="0" w:space="0" w:color="auto"/>
        <w:right w:val="none" w:sz="0" w:space="0" w:color="auto"/>
      </w:divBdr>
    </w:div>
    <w:div w:id="915749454">
      <w:bodyDiv w:val="1"/>
      <w:marLeft w:val="0"/>
      <w:marRight w:val="0"/>
      <w:marTop w:val="0"/>
      <w:marBottom w:val="0"/>
      <w:divBdr>
        <w:top w:val="none" w:sz="0" w:space="0" w:color="auto"/>
        <w:left w:val="none" w:sz="0" w:space="0" w:color="auto"/>
        <w:bottom w:val="none" w:sz="0" w:space="0" w:color="auto"/>
        <w:right w:val="none" w:sz="0" w:space="0" w:color="auto"/>
      </w:divBdr>
    </w:div>
    <w:div w:id="1016226206">
      <w:bodyDiv w:val="1"/>
      <w:marLeft w:val="0"/>
      <w:marRight w:val="0"/>
      <w:marTop w:val="0"/>
      <w:marBottom w:val="0"/>
      <w:divBdr>
        <w:top w:val="none" w:sz="0" w:space="0" w:color="auto"/>
        <w:left w:val="none" w:sz="0" w:space="0" w:color="auto"/>
        <w:bottom w:val="none" w:sz="0" w:space="0" w:color="auto"/>
        <w:right w:val="none" w:sz="0" w:space="0" w:color="auto"/>
      </w:divBdr>
    </w:div>
    <w:div w:id="1162164608">
      <w:bodyDiv w:val="1"/>
      <w:marLeft w:val="0"/>
      <w:marRight w:val="0"/>
      <w:marTop w:val="0"/>
      <w:marBottom w:val="0"/>
      <w:divBdr>
        <w:top w:val="none" w:sz="0" w:space="0" w:color="auto"/>
        <w:left w:val="none" w:sz="0" w:space="0" w:color="auto"/>
        <w:bottom w:val="none" w:sz="0" w:space="0" w:color="auto"/>
        <w:right w:val="none" w:sz="0" w:space="0" w:color="auto"/>
      </w:divBdr>
    </w:div>
    <w:div w:id="1187793913">
      <w:bodyDiv w:val="1"/>
      <w:marLeft w:val="0"/>
      <w:marRight w:val="0"/>
      <w:marTop w:val="0"/>
      <w:marBottom w:val="0"/>
      <w:divBdr>
        <w:top w:val="none" w:sz="0" w:space="0" w:color="auto"/>
        <w:left w:val="none" w:sz="0" w:space="0" w:color="auto"/>
        <w:bottom w:val="none" w:sz="0" w:space="0" w:color="auto"/>
        <w:right w:val="none" w:sz="0" w:space="0" w:color="auto"/>
      </w:divBdr>
    </w:div>
    <w:div w:id="1322465406">
      <w:bodyDiv w:val="1"/>
      <w:marLeft w:val="0"/>
      <w:marRight w:val="0"/>
      <w:marTop w:val="0"/>
      <w:marBottom w:val="0"/>
      <w:divBdr>
        <w:top w:val="none" w:sz="0" w:space="0" w:color="auto"/>
        <w:left w:val="none" w:sz="0" w:space="0" w:color="auto"/>
        <w:bottom w:val="none" w:sz="0" w:space="0" w:color="auto"/>
        <w:right w:val="none" w:sz="0" w:space="0" w:color="auto"/>
      </w:divBdr>
    </w:div>
    <w:div w:id="1363286213">
      <w:bodyDiv w:val="1"/>
      <w:marLeft w:val="0"/>
      <w:marRight w:val="0"/>
      <w:marTop w:val="0"/>
      <w:marBottom w:val="0"/>
      <w:divBdr>
        <w:top w:val="none" w:sz="0" w:space="0" w:color="auto"/>
        <w:left w:val="none" w:sz="0" w:space="0" w:color="auto"/>
        <w:bottom w:val="none" w:sz="0" w:space="0" w:color="auto"/>
        <w:right w:val="none" w:sz="0" w:space="0" w:color="auto"/>
      </w:divBdr>
    </w:div>
    <w:div w:id="1663460509">
      <w:bodyDiv w:val="1"/>
      <w:marLeft w:val="0"/>
      <w:marRight w:val="0"/>
      <w:marTop w:val="0"/>
      <w:marBottom w:val="0"/>
      <w:divBdr>
        <w:top w:val="none" w:sz="0" w:space="0" w:color="auto"/>
        <w:left w:val="none" w:sz="0" w:space="0" w:color="auto"/>
        <w:bottom w:val="none" w:sz="0" w:space="0" w:color="auto"/>
        <w:right w:val="none" w:sz="0" w:space="0" w:color="auto"/>
      </w:divBdr>
    </w:div>
    <w:div w:id="1767076993">
      <w:bodyDiv w:val="1"/>
      <w:marLeft w:val="0"/>
      <w:marRight w:val="0"/>
      <w:marTop w:val="0"/>
      <w:marBottom w:val="0"/>
      <w:divBdr>
        <w:top w:val="none" w:sz="0" w:space="0" w:color="auto"/>
        <w:left w:val="none" w:sz="0" w:space="0" w:color="auto"/>
        <w:bottom w:val="none" w:sz="0" w:space="0" w:color="auto"/>
        <w:right w:val="none" w:sz="0" w:space="0" w:color="auto"/>
      </w:divBdr>
    </w:div>
    <w:div w:id="1809588048">
      <w:bodyDiv w:val="1"/>
      <w:marLeft w:val="0"/>
      <w:marRight w:val="0"/>
      <w:marTop w:val="0"/>
      <w:marBottom w:val="0"/>
      <w:divBdr>
        <w:top w:val="none" w:sz="0" w:space="0" w:color="auto"/>
        <w:left w:val="none" w:sz="0" w:space="0" w:color="auto"/>
        <w:bottom w:val="none" w:sz="0" w:space="0" w:color="auto"/>
        <w:right w:val="none" w:sz="0" w:space="0" w:color="auto"/>
      </w:divBdr>
    </w:div>
    <w:div w:id="1862355374">
      <w:bodyDiv w:val="1"/>
      <w:marLeft w:val="0"/>
      <w:marRight w:val="0"/>
      <w:marTop w:val="0"/>
      <w:marBottom w:val="0"/>
      <w:divBdr>
        <w:top w:val="none" w:sz="0" w:space="0" w:color="auto"/>
        <w:left w:val="none" w:sz="0" w:space="0" w:color="auto"/>
        <w:bottom w:val="none" w:sz="0" w:space="0" w:color="auto"/>
        <w:right w:val="none" w:sz="0" w:space="0" w:color="auto"/>
      </w:divBdr>
    </w:div>
    <w:div w:id="1974285611">
      <w:bodyDiv w:val="1"/>
      <w:marLeft w:val="0"/>
      <w:marRight w:val="0"/>
      <w:marTop w:val="0"/>
      <w:marBottom w:val="0"/>
      <w:divBdr>
        <w:top w:val="none" w:sz="0" w:space="0" w:color="auto"/>
        <w:left w:val="none" w:sz="0" w:space="0" w:color="auto"/>
        <w:bottom w:val="none" w:sz="0" w:space="0" w:color="auto"/>
        <w:right w:val="none" w:sz="0" w:space="0" w:color="auto"/>
      </w:divBdr>
    </w:div>
    <w:div w:id="2011717637">
      <w:bodyDiv w:val="1"/>
      <w:marLeft w:val="0"/>
      <w:marRight w:val="0"/>
      <w:marTop w:val="0"/>
      <w:marBottom w:val="0"/>
      <w:divBdr>
        <w:top w:val="none" w:sz="0" w:space="0" w:color="auto"/>
        <w:left w:val="none" w:sz="0" w:space="0" w:color="auto"/>
        <w:bottom w:val="none" w:sz="0" w:space="0" w:color="auto"/>
        <w:right w:val="none" w:sz="0" w:space="0" w:color="auto"/>
      </w:divBdr>
    </w:div>
    <w:div w:id="2086763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Court-VCAT\AllSec\PLANNING%20MEMBERS%20MANUAL\STANDARD%20ORDERS%20MODEL%20TEMPLATES%202016\Decision%20Template%202016%20(Full%20Tex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C41842-12E9-4F09-88C3-DB5E001C3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Decision Template 2016 (Full Text)</Template>
  <TotalTime>55</TotalTime>
  <Pages>12</Pages>
  <Words>3652</Words>
  <Characters>20820</Characters>
  <Application>Microsoft Office Word</Application>
  <DocSecurity>8</DocSecurity>
  <Lines>173</Lines>
  <Paragraphs>48</Paragraphs>
  <ScaleCrop>false</ScaleCrop>
  <HeadingPairs>
    <vt:vector size="2" baseType="variant">
      <vt:variant>
        <vt:lpstr>Title</vt:lpstr>
      </vt:variant>
      <vt:variant>
        <vt:i4>1</vt:i4>
      </vt:variant>
    </vt:vector>
  </HeadingPairs>
  <TitlesOfParts>
    <vt:vector size="1" baseType="lpstr">
      <vt:lpstr>VICTORIAN CIVIL AND ADMINISTRATIVE TRIBUNAL</vt:lpstr>
    </vt:vector>
  </TitlesOfParts>
  <Company/>
  <LinksUpToDate>false</LinksUpToDate>
  <CharactersWithSpaces>24424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VICTORIAN CIVIL AND ADMINISTRATIVE TRIBUNAL</dc:title>
  <dc:subject/>
  <dc:creator>Michael A Deidun (CSV)</dc:creator>
  <cp:keywords/>
  <dc:description/>
  <cp:lastModifiedBy>David Morrison</cp:lastModifiedBy>
  <cp:revision>2</cp:revision>
  <cp:lastPrinted>2020-02-24T23:33:00Z</cp:lastPrinted>
  <dcterms:created xsi:type="dcterms:W3CDTF">2020-02-25T06:21:00Z</dcterms:created>
  <dcterms:modified xsi:type="dcterms:W3CDTF">2020-02-25T06:21:00Z</dcterms:modified>
</cp:coreProperties>
</file>